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E0025" w14:textId="77777777" w:rsidR="007B5E47" w:rsidRDefault="007B5E47"/>
    <w:p w14:paraId="34836797" w14:textId="77777777" w:rsidR="006F0ED0" w:rsidRDefault="006F0ED0"/>
    <w:p w14:paraId="50CB4171" w14:textId="77777777" w:rsidR="006F0ED0" w:rsidRDefault="006F0ED0"/>
    <w:p w14:paraId="0A817505" w14:textId="1A3FC863" w:rsidR="006F0ED0" w:rsidRDefault="006F0ED0" w:rsidP="006F0ED0">
      <w:pPr>
        <w:rPr>
          <w:sz w:val="44"/>
          <w:szCs w:val="44"/>
        </w:rPr>
      </w:pPr>
      <w:r w:rsidRPr="006F0ED0">
        <w:rPr>
          <w:sz w:val="44"/>
          <w:szCs w:val="44"/>
        </w:rPr>
        <w:t>PRZECIWCIAŁA MONOKLONALN</w:t>
      </w:r>
      <w:r w:rsidR="00147C7E">
        <w:rPr>
          <w:sz w:val="44"/>
          <w:szCs w:val="44"/>
        </w:rPr>
        <w:t>E</w:t>
      </w:r>
      <w:r w:rsidRPr="006F0ED0">
        <w:rPr>
          <w:sz w:val="44"/>
          <w:szCs w:val="44"/>
        </w:rPr>
        <w:t xml:space="preserve"> ANTY-CGRP</w:t>
      </w:r>
      <w:r w:rsidR="00372968">
        <w:rPr>
          <w:sz w:val="44"/>
          <w:szCs w:val="44"/>
        </w:rPr>
        <w:t>/CGRPR</w:t>
      </w:r>
      <w:r w:rsidRPr="006F0ED0">
        <w:rPr>
          <w:sz w:val="44"/>
          <w:szCs w:val="44"/>
        </w:rPr>
        <w:t xml:space="preserve"> ORAZ ANTAGONI</w:t>
      </w:r>
      <w:r w:rsidR="00147C7E">
        <w:rPr>
          <w:sz w:val="44"/>
          <w:szCs w:val="44"/>
        </w:rPr>
        <w:t>ŚCI</w:t>
      </w:r>
      <w:r w:rsidRPr="006F0ED0">
        <w:rPr>
          <w:sz w:val="44"/>
          <w:szCs w:val="44"/>
        </w:rPr>
        <w:t xml:space="preserve"> RECEPTORA CGRP (GEPANT</w:t>
      </w:r>
      <w:r w:rsidR="00147C7E">
        <w:rPr>
          <w:sz w:val="44"/>
          <w:szCs w:val="44"/>
        </w:rPr>
        <w:t>Y</w:t>
      </w:r>
      <w:r w:rsidRPr="006F0ED0">
        <w:rPr>
          <w:sz w:val="44"/>
          <w:szCs w:val="44"/>
        </w:rPr>
        <w:t>)</w:t>
      </w:r>
      <w:r w:rsidR="00147C7E">
        <w:rPr>
          <w:sz w:val="44"/>
          <w:szCs w:val="44"/>
        </w:rPr>
        <w:t xml:space="preserve"> W </w:t>
      </w:r>
      <w:r w:rsidR="00147C7E" w:rsidRPr="006F0ED0">
        <w:rPr>
          <w:sz w:val="44"/>
          <w:szCs w:val="44"/>
        </w:rPr>
        <w:t>TERAPI</w:t>
      </w:r>
      <w:r w:rsidR="00147C7E">
        <w:rPr>
          <w:sz w:val="44"/>
          <w:szCs w:val="44"/>
        </w:rPr>
        <w:t>I</w:t>
      </w:r>
      <w:r w:rsidR="00147C7E" w:rsidRPr="006F0ED0">
        <w:rPr>
          <w:sz w:val="44"/>
          <w:szCs w:val="44"/>
        </w:rPr>
        <w:t xml:space="preserve"> PROFILAKTYCZN</w:t>
      </w:r>
      <w:r w:rsidR="00147C7E">
        <w:rPr>
          <w:sz w:val="44"/>
          <w:szCs w:val="44"/>
        </w:rPr>
        <w:t>EJ</w:t>
      </w:r>
      <w:r w:rsidR="00147C7E" w:rsidRPr="006F0ED0">
        <w:rPr>
          <w:sz w:val="44"/>
          <w:szCs w:val="44"/>
        </w:rPr>
        <w:t xml:space="preserve"> MIGRENY</w:t>
      </w:r>
    </w:p>
    <w:p w14:paraId="4C8E8AD1" w14:textId="77777777" w:rsidR="009D1EF6" w:rsidRDefault="009D1EF6" w:rsidP="006F0ED0">
      <w:pPr>
        <w:rPr>
          <w:b/>
          <w:bCs/>
          <w:szCs w:val="24"/>
        </w:rPr>
      </w:pPr>
    </w:p>
    <w:p w14:paraId="2FBA5910" w14:textId="45174B9C" w:rsidR="006F0ED0" w:rsidRDefault="006F0ED0" w:rsidP="006F0ED0">
      <w:pPr>
        <w:rPr>
          <w:b/>
          <w:bCs/>
          <w:szCs w:val="24"/>
        </w:rPr>
      </w:pPr>
      <w:r w:rsidRPr="006F0ED0">
        <w:rPr>
          <w:b/>
          <w:bCs/>
          <w:szCs w:val="24"/>
        </w:rPr>
        <w:t xml:space="preserve">mgr </w:t>
      </w:r>
      <w:r w:rsidR="00BD2C37">
        <w:rPr>
          <w:b/>
          <w:bCs/>
          <w:szCs w:val="24"/>
        </w:rPr>
        <w:t xml:space="preserve">farm. </w:t>
      </w:r>
      <w:r w:rsidRPr="006F0ED0">
        <w:rPr>
          <w:b/>
          <w:bCs/>
          <w:szCs w:val="24"/>
        </w:rPr>
        <w:t>Łukasz Szostek</w:t>
      </w:r>
    </w:p>
    <w:p w14:paraId="5456218A" w14:textId="77777777" w:rsidR="009D1EF6" w:rsidRDefault="009D1EF6" w:rsidP="006F0ED0">
      <w:pPr>
        <w:rPr>
          <w:szCs w:val="24"/>
        </w:rPr>
      </w:pPr>
    </w:p>
    <w:p w14:paraId="59B24475" w14:textId="1370400E" w:rsidR="00640EAA" w:rsidRDefault="00640EAA" w:rsidP="006F0ED0">
      <w:pPr>
        <w:rPr>
          <w:szCs w:val="24"/>
        </w:rPr>
      </w:pPr>
      <w:r>
        <w:rPr>
          <w:szCs w:val="24"/>
        </w:rPr>
        <w:t>Praca poglądowa w ramach specjalizacji z farmacji klinicznej</w:t>
      </w:r>
    </w:p>
    <w:p w14:paraId="635743B8" w14:textId="242AF3B3" w:rsidR="00640EAA" w:rsidRPr="00640EAA" w:rsidRDefault="00640EAA" w:rsidP="006F0ED0">
      <w:pPr>
        <w:rPr>
          <w:szCs w:val="24"/>
        </w:rPr>
      </w:pPr>
      <w:r>
        <w:rPr>
          <w:szCs w:val="24"/>
        </w:rPr>
        <w:t>Kierownik specjalizacji: dr n. farm. Dorota Pastok</w:t>
      </w:r>
    </w:p>
    <w:p w14:paraId="48F62EDD" w14:textId="62B89E8E" w:rsidR="00640EAA" w:rsidRDefault="006F0ED0" w:rsidP="006F0ED0">
      <w:pPr>
        <w:rPr>
          <w:szCs w:val="24"/>
        </w:rPr>
      </w:pPr>
      <w:r>
        <w:rPr>
          <w:szCs w:val="24"/>
        </w:rPr>
        <w:t xml:space="preserve"> </w:t>
      </w:r>
    </w:p>
    <w:p w14:paraId="5FA7A7B8" w14:textId="77777777" w:rsidR="00640EAA" w:rsidRDefault="00640EAA">
      <w:pPr>
        <w:rPr>
          <w:szCs w:val="24"/>
        </w:rPr>
      </w:pPr>
      <w:r>
        <w:rPr>
          <w:szCs w:val="24"/>
        </w:rPr>
        <w:br w:type="page"/>
      </w:r>
    </w:p>
    <w:p w14:paraId="42C0E4EC" w14:textId="77777777" w:rsidR="006C073E" w:rsidRDefault="006C073E" w:rsidP="006C073E">
      <w:pPr>
        <w:pStyle w:val="Podtytu"/>
        <w:jc w:val="both"/>
        <w:sectPr w:rsidR="006C073E" w:rsidSect="00BA6A66">
          <w:pgSz w:w="11906" w:h="16838"/>
          <w:pgMar w:top="1417" w:right="1417" w:bottom="1417" w:left="1417" w:header="708" w:footer="708" w:gutter="0"/>
          <w:pgNumType w:start="0"/>
          <w:cols w:space="708"/>
          <w:titlePg/>
          <w:docGrid w:linePitch="360"/>
        </w:sectPr>
      </w:pPr>
    </w:p>
    <w:p w14:paraId="4684763B" w14:textId="2AF3B83A" w:rsidR="006F0ED0" w:rsidRDefault="00536B2D" w:rsidP="006C073E">
      <w:pPr>
        <w:pStyle w:val="Podtytu"/>
        <w:jc w:val="both"/>
      </w:pPr>
      <w:r>
        <w:lastRenderedPageBreak/>
        <w:t>Wstęp</w:t>
      </w:r>
    </w:p>
    <w:p w14:paraId="611E8B52" w14:textId="56258C5C" w:rsidR="009D1EF6" w:rsidRDefault="00536B2D" w:rsidP="006C073E">
      <w:pPr>
        <w:jc w:val="both"/>
      </w:pPr>
      <w:r>
        <w:t>Migrena jest chorobą</w:t>
      </w:r>
      <w:r w:rsidR="0098084E">
        <w:t xml:space="preserve"> przewlekłą</w:t>
      </w:r>
      <w:r w:rsidR="00554E41">
        <w:t xml:space="preserve"> </w:t>
      </w:r>
      <w:r w:rsidR="00D3721C">
        <w:t>cechującą się napadami bólu głowy, którym mogą towarzyszyć inne objawy neurologiczne</w:t>
      </w:r>
      <w:r w:rsidR="004D6A3E">
        <w:t xml:space="preserve"> oraz wegetatywne.</w:t>
      </w:r>
      <w:r w:rsidR="000C1958">
        <w:t xml:space="preserve"> (</w:t>
      </w:r>
      <w:r w:rsidR="008608FA" w:rsidRPr="008608FA">
        <w:t>Gajewski i in., 2025</w:t>
      </w:r>
      <w:r w:rsidR="00FE226E" w:rsidRPr="00FE226E">
        <w:t>)</w:t>
      </w:r>
      <w:r w:rsidR="000C1958">
        <w:t xml:space="preserve"> Dotyka </w:t>
      </w:r>
      <w:r w:rsidR="000E677B">
        <w:t xml:space="preserve">szacunkowo </w:t>
      </w:r>
      <w:r w:rsidR="000C1958">
        <w:t xml:space="preserve">10% światowej populacji (Burch </w:t>
      </w:r>
      <w:r w:rsidR="000E677B">
        <w:t>i in</w:t>
      </w:r>
      <w:r w:rsidR="000C1958">
        <w:t>., 2018)</w:t>
      </w:r>
      <w:r w:rsidR="000E677B">
        <w:t>, natomiast rozpowszechnienie w krajach europejskich wynosi 11,4% (Woldeamanuel i in., 2017)</w:t>
      </w:r>
      <w:r w:rsidR="0098084E">
        <w:t xml:space="preserve">. </w:t>
      </w:r>
      <w:r w:rsidR="00D232D5">
        <w:t>W Polsce w</w:t>
      </w:r>
      <w:r w:rsidR="0098084E">
        <w:t>edług danych NFZ w 2023 r. liczba pacjentów z rozpoznaniem głównym i/lub współistniejącym ICD-10: G43 – migrena</w:t>
      </w:r>
      <w:r w:rsidR="00821DB0">
        <w:t>,</w:t>
      </w:r>
      <w:r w:rsidR="0098084E">
        <w:t xml:space="preserve"> wyniosła </w:t>
      </w:r>
      <w:r w:rsidR="0098084E" w:rsidRPr="0098084E">
        <w:t>162</w:t>
      </w:r>
      <w:r w:rsidR="0098084E">
        <w:t> </w:t>
      </w:r>
      <w:r w:rsidR="0098084E" w:rsidRPr="0098084E">
        <w:t>492</w:t>
      </w:r>
      <w:r w:rsidR="0098084E">
        <w:t xml:space="preserve"> osób (Rekomendacja AOTMiT</w:t>
      </w:r>
      <w:r w:rsidR="000D3EDF">
        <w:t>, 2025</w:t>
      </w:r>
      <w:r w:rsidR="0098084E">
        <w:t>)</w:t>
      </w:r>
      <w:r w:rsidR="00B1705D">
        <w:t xml:space="preserve">. Jako powikłanie migreny epizodycznej klasyfikuje się migrenę przewlekłą, którą rozpoznaje się u chorych mających ból głowy </w:t>
      </w:r>
      <w:r w:rsidR="00B1705D">
        <w:rPr>
          <w:rFonts w:cs="Calibri"/>
        </w:rPr>
        <w:t>≥</w:t>
      </w:r>
      <w:r w:rsidR="00B1705D">
        <w:t xml:space="preserve"> 15 dni w miesiącu przez </w:t>
      </w:r>
      <w:r w:rsidR="00B1705D">
        <w:rPr>
          <w:rFonts w:cs="Calibri"/>
        </w:rPr>
        <w:t>≥</w:t>
      </w:r>
      <w:r w:rsidR="00B1705D">
        <w:t xml:space="preserve"> 3 kolejne miesiące, jeżeli </w:t>
      </w:r>
      <w:r w:rsidR="00B1705D">
        <w:rPr>
          <w:rFonts w:cs="Calibri"/>
        </w:rPr>
        <w:t>≥</w:t>
      </w:r>
      <w:r w:rsidR="00B1705D">
        <w:t xml:space="preserve"> 8 dni w każdym miesiącu ból głowy spełnia kryteria migreny bez aury lub z aurą</w:t>
      </w:r>
      <w:r w:rsidR="00D232D5">
        <w:t xml:space="preserve"> (ICHD-3, 2013). Rozpowszechnienie migreny przewlekłej jest mniejsze niż epizodycznej i wynosi 1-2% populacji (Natoli i in., 2010)</w:t>
      </w:r>
      <w:r w:rsidR="00821DB0">
        <w:t>.</w:t>
      </w:r>
      <w:r w:rsidR="00185D87">
        <w:t xml:space="preserve"> Skuteczn</w:t>
      </w:r>
      <w:r w:rsidR="000529AB">
        <w:t>e</w:t>
      </w:r>
      <w:r w:rsidR="00185D87">
        <w:t xml:space="preserve"> </w:t>
      </w:r>
      <w:r w:rsidR="000529AB">
        <w:t xml:space="preserve">leczenie zapobiegawcze </w:t>
      </w:r>
      <w:r w:rsidR="00185D87">
        <w:t>migreny może poprawić</w:t>
      </w:r>
      <w:r w:rsidR="000529AB">
        <w:t xml:space="preserve"> funkcjonowanie pacjentów, zmniejszyć ich niepełnosprawność </w:t>
      </w:r>
      <w:r w:rsidR="00182727">
        <w:t>i</w:t>
      </w:r>
      <w:r w:rsidR="000529AB">
        <w:t xml:space="preserve"> koszt opieki zdrowotnej.</w:t>
      </w:r>
      <w:r w:rsidR="00862234">
        <w:t xml:space="preserve"> </w:t>
      </w:r>
    </w:p>
    <w:p w14:paraId="1256B17A" w14:textId="07519DC7" w:rsidR="000C1958" w:rsidRDefault="00862234" w:rsidP="006C073E">
      <w:pPr>
        <w:ind w:firstLine="708"/>
        <w:jc w:val="both"/>
      </w:pPr>
      <w:r>
        <w:t>P</w:t>
      </w:r>
      <w:r w:rsidRPr="00862234">
        <w:t xml:space="preserve">eptyd </w:t>
      </w:r>
      <w:r w:rsidR="00EB49A2">
        <w:t>związany</w:t>
      </w:r>
      <w:r w:rsidR="007C7BCF">
        <w:t xml:space="preserve"> z </w:t>
      </w:r>
      <w:r w:rsidR="009D535D">
        <w:t>gen</w:t>
      </w:r>
      <w:r w:rsidR="007C7BCF">
        <w:t>em</w:t>
      </w:r>
      <w:r w:rsidRPr="00862234">
        <w:t xml:space="preserve"> kalcytoniny (calcitonin gene-related peptide – CGRP)</w:t>
      </w:r>
      <w:r>
        <w:t xml:space="preserve"> to neuropeptyd zlokalizowany</w:t>
      </w:r>
      <w:r w:rsidR="00862F08">
        <w:t xml:space="preserve"> w całym ciele </w:t>
      </w:r>
      <w:r>
        <w:t>głównie we włóknach czuciowych, z rozległą lokalizacją okołonaczyniową. Działa jako silny środek rozszerzający naczynia krwionośne</w:t>
      </w:r>
      <w:r w:rsidR="007D4136">
        <w:t xml:space="preserve"> oraz ma wpływ na przetwarzanie bodźców bólowych</w:t>
      </w:r>
      <w:r>
        <w:t xml:space="preserve"> (Edvinsson i in., 2019). </w:t>
      </w:r>
      <w:r w:rsidR="00816311">
        <w:t xml:space="preserve">Obecnie dostępne terapie związane z </w:t>
      </w:r>
      <w:r w:rsidR="007206E2">
        <w:t>CGRP</w:t>
      </w:r>
      <w:r w:rsidR="00816311">
        <w:t xml:space="preserve"> obejmują gepanty oraz przeciwciała monoklonalne (mAbs).</w:t>
      </w:r>
      <w:r w:rsidR="007206E2">
        <w:t xml:space="preserve"> </w:t>
      </w:r>
    </w:p>
    <w:p w14:paraId="2080422B" w14:textId="04C3794C" w:rsidR="007E3D39" w:rsidRDefault="00821DB0" w:rsidP="006C073E">
      <w:pPr>
        <w:pStyle w:val="Podtytu"/>
        <w:jc w:val="both"/>
      </w:pPr>
      <w:r>
        <w:t>Znaczenie społeczne i ekonomiczne</w:t>
      </w:r>
    </w:p>
    <w:p w14:paraId="338E0F95" w14:textId="050C4AE0" w:rsidR="009D1EF6" w:rsidRDefault="004E7AB7" w:rsidP="006C073E">
      <w:pPr>
        <w:jc w:val="both"/>
      </w:pPr>
      <w:r w:rsidRPr="004E7AB7">
        <w:t xml:space="preserve">Osoby </w:t>
      </w:r>
      <w:r>
        <w:t>chorujące</w:t>
      </w:r>
      <w:r w:rsidRPr="004E7AB7">
        <w:t xml:space="preserve"> na migrenę poza kosztami związanymi z leczeniem ponoszą szereg kosztów społecznych.</w:t>
      </w:r>
      <w:r w:rsidR="00F55622">
        <w:t xml:space="preserve"> </w:t>
      </w:r>
      <w:r w:rsidR="00F55622" w:rsidRPr="00F55622">
        <w:t>Pacjenci wskazują na trudności</w:t>
      </w:r>
      <w:r w:rsidR="00F55622">
        <w:t xml:space="preserve"> </w:t>
      </w:r>
      <w:r w:rsidR="00F55622" w:rsidRPr="00F55622">
        <w:t>w pracy zawodowej</w:t>
      </w:r>
      <w:r w:rsidR="00F55622">
        <w:t>, ponieważ w</w:t>
      </w:r>
      <w:r w:rsidR="00F55622" w:rsidRPr="00F55622">
        <w:t xml:space="preserve"> trakcie dolegliwości bólowych wydajność ich pracy jest znacznie ograniczona lub w ogóle</w:t>
      </w:r>
      <w:r w:rsidR="00F55622">
        <w:t xml:space="preserve"> niemożliwa</w:t>
      </w:r>
      <w:r w:rsidR="00F55622" w:rsidRPr="00F55622">
        <w:t>. Ból</w:t>
      </w:r>
      <w:r w:rsidR="00F55622">
        <w:t xml:space="preserve"> połączony z </w:t>
      </w:r>
      <w:r w:rsidR="00F55622" w:rsidRPr="00F55622">
        <w:t>nadwrażliwoś</w:t>
      </w:r>
      <w:r w:rsidR="00F55622">
        <w:t>cią</w:t>
      </w:r>
      <w:r w:rsidR="00F55622" w:rsidRPr="00F55622">
        <w:t xml:space="preserve"> na światło i bodźce dźwiękowe, </w:t>
      </w:r>
      <w:r w:rsidR="00F55622">
        <w:t>brak</w:t>
      </w:r>
      <w:r w:rsidR="00F55622" w:rsidRPr="00F55622">
        <w:t xml:space="preserve"> koncentracj</w:t>
      </w:r>
      <w:r w:rsidR="00F55622">
        <w:t>i</w:t>
      </w:r>
      <w:r w:rsidR="00F55622" w:rsidRPr="00F55622">
        <w:t xml:space="preserve"> oraz poczucie </w:t>
      </w:r>
      <w:r w:rsidR="00F55622">
        <w:t xml:space="preserve">skrajnego </w:t>
      </w:r>
      <w:r w:rsidR="00F55622" w:rsidRPr="00F55622">
        <w:t>zmęczenia są wskazywane przez pacjentów jako ograniczające wykonywanie nawet prostych zadań</w:t>
      </w:r>
      <w:r w:rsidR="00F55622">
        <w:t xml:space="preserve"> (</w:t>
      </w:r>
      <w:r w:rsidR="00F55622" w:rsidRPr="00F55622">
        <w:t>Lerner</w:t>
      </w:r>
      <w:r w:rsidR="00F55622">
        <w:t xml:space="preserve"> i in., 1999).</w:t>
      </w:r>
      <w:r w:rsidR="00E430FB">
        <w:t xml:space="preserve"> </w:t>
      </w:r>
      <w:r w:rsidR="006C073E">
        <w:t>Choroba</w:t>
      </w:r>
      <w:r w:rsidR="00E430FB">
        <w:t xml:space="preserve"> może wpływać na poziom lęku oraz</w:t>
      </w:r>
      <w:r w:rsidR="004B308E">
        <w:t xml:space="preserve"> występowanie i</w:t>
      </w:r>
      <w:r w:rsidR="00E430FB">
        <w:t xml:space="preserve"> intensywność depresji, co </w:t>
      </w:r>
      <w:r w:rsidR="006C073E">
        <w:t xml:space="preserve">wpływa pośrednio </w:t>
      </w:r>
      <w:r w:rsidR="00E430FB">
        <w:t>na brak satysfakcji z pracy (</w:t>
      </w:r>
      <w:r w:rsidR="00E430FB" w:rsidRPr="00E430FB">
        <w:t>Rogante</w:t>
      </w:r>
      <w:r w:rsidR="00E430FB">
        <w:t xml:space="preserve"> i in., 2019).</w:t>
      </w:r>
      <w:r w:rsidR="00F55622">
        <w:t xml:space="preserve"> </w:t>
      </w:r>
      <w:r w:rsidR="00F55622" w:rsidRPr="00F55622">
        <w:t xml:space="preserve">Pacjenci spotykają się z </w:t>
      </w:r>
      <w:r w:rsidR="00E430FB">
        <w:t>niedowierzaniem</w:t>
      </w:r>
      <w:r w:rsidR="00F55622" w:rsidRPr="00F55622">
        <w:t xml:space="preserve"> dotycząc</w:t>
      </w:r>
      <w:r w:rsidR="00E430FB">
        <w:t>ym</w:t>
      </w:r>
      <w:r w:rsidR="00F55622" w:rsidRPr="00F55622">
        <w:t xml:space="preserve"> siły przeżywanego przez nich bólu. Zdarza się, że migrena nie jest traktowana jako poważna choroba</w:t>
      </w:r>
      <w:r w:rsidR="004B308E">
        <w:t>.</w:t>
      </w:r>
      <w:r w:rsidR="00C77B63">
        <w:t xml:space="preserve"> </w:t>
      </w:r>
    </w:p>
    <w:p w14:paraId="49899C0F" w14:textId="6BD3B32F" w:rsidR="004E7AB7" w:rsidRPr="004E7AB7" w:rsidRDefault="004B308E" w:rsidP="006C073E">
      <w:pPr>
        <w:ind w:firstLine="708"/>
        <w:jc w:val="both"/>
      </w:pPr>
      <w:r w:rsidRPr="004B308E">
        <w:t xml:space="preserve">Koszty </w:t>
      </w:r>
      <w:r>
        <w:t>migreny</w:t>
      </w:r>
      <w:r w:rsidRPr="004B308E">
        <w:t xml:space="preserve"> można podzielić na koszty bezpośrednie, związane z kosztami </w:t>
      </w:r>
      <w:r>
        <w:t>leczenia</w:t>
      </w:r>
      <w:r w:rsidRPr="004B308E">
        <w:t xml:space="preserve"> oraz koszty pośrednie, wśród których najważniejsze są koszty nieobecności w pracy z powodu choroby oraz koszty obecności w pracy w stanie obniżonej produktywności.</w:t>
      </w:r>
      <w:r>
        <w:t xml:space="preserve"> </w:t>
      </w:r>
      <w:r w:rsidRPr="004B308E">
        <w:t>Osoby chorujące na migrenę w większości przypadków przychodzą do pracy, a następnie wykonują swoje obowiązki i czynności pracownicze z ograniczoną produktywnością</w:t>
      </w:r>
      <w:r>
        <w:t xml:space="preserve">. </w:t>
      </w:r>
      <w:r w:rsidR="0053435D">
        <w:t>Na podstawie danych za 2017 rok oszacowany roczny koszt pośredni na chorą osobę wyniósł ok. 13 tyś. złotych (</w:t>
      </w:r>
      <w:r w:rsidR="0053435D" w:rsidRPr="0053435D">
        <w:t>NIPZ-PZH</w:t>
      </w:r>
      <w:r w:rsidR="0053435D">
        <w:t xml:space="preserve">, 2019).  </w:t>
      </w:r>
    </w:p>
    <w:p w14:paraId="5C013974" w14:textId="3C03DCB2" w:rsidR="00821DB0" w:rsidRDefault="00E853E3" w:rsidP="006C073E">
      <w:pPr>
        <w:pStyle w:val="Podtytu"/>
        <w:jc w:val="both"/>
      </w:pPr>
      <w:r>
        <w:t>Patogeneza migreny</w:t>
      </w:r>
    </w:p>
    <w:p w14:paraId="1AD11129" w14:textId="5095F848" w:rsidR="00185D87" w:rsidRDefault="00E853E3" w:rsidP="006C073E">
      <w:pPr>
        <w:jc w:val="both"/>
      </w:pPr>
      <w:r>
        <w:t>Proces powstawania nie został do końca poznany, jednak</w:t>
      </w:r>
      <w:r w:rsidR="00EB49A2">
        <w:t xml:space="preserve"> uważa się, że migrena</w:t>
      </w:r>
      <w:r w:rsidR="008E0CCB" w:rsidRPr="008E0CCB">
        <w:t xml:space="preserve"> jest przejawem </w:t>
      </w:r>
      <w:r>
        <w:t>genetycznie uwarunkowanej</w:t>
      </w:r>
      <w:r w:rsidR="008E0CCB" w:rsidRPr="008E0CCB">
        <w:t xml:space="preserve"> skłonności do nadmiernego reagowania układu nerwowo-naczyniowego głowy na </w:t>
      </w:r>
      <w:r w:rsidR="008E0CCB" w:rsidRPr="008E0CCB">
        <w:lastRenderedPageBreak/>
        <w:t>określone bodźce wewnętrzne lub zewnętrzne</w:t>
      </w:r>
      <w:r w:rsidR="008E0CCB">
        <w:t>.</w:t>
      </w:r>
      <w:r w:rsidR="00DD3D5B">
        <w:t xml:space="preserve"> </w:t>
      </w:r>
      <w:r w:rsidR="00EB49A2">
        <w:t>C</w:t>
      </w:r>
      <w:r w:rsidR="00DD3D5B">
        <w:t>echuje się skłonnością do wzmożonej aktywności naczynioruchowej, wywoływanej napadowymi zmianami w ośrodkowym układzie nerwowym (OUN). W patomechanizmie rozwoju napadu migreny</w:t>
      </w:r>
      <w:r w:rsidR="007516EE">
        <w:t xml:space="preserve"> współdziałają: układ naczyniowy, nerw trójdzielny i jego jądra w pniu mózgu, a także ośrodki w korze mózgu</w:t>
      </w:r>
      <w:r w:rsidR="00185D87">
        <w:t>.</w:t>
      </w:r>
      <w:r w:rsidR="007516EE">
        <w:t xml:space="preserve"> W trakcie napadu migreny dochodzi do </w:t>
      </w:r>
      <w:r w:rsidR="00185D87">
        <w:t xml:space="preserve">zmniejszenie przepływu krwi przez naczynia tętnicze, spowodowane nadmierną reaktywnością naczyń mózgowych, rozprzestrzeniające się od okolicy potylicznej mózgu przez całą półkulę do okolicy czołowej. Niedokrwienie połączone z przebiegającą falą depolaryzacji może odpowiadać za aurę migrenową. </w:t>
      </w:r>
      <w:r w:rsidR="00C0699F">
        <w:t>Pobudzenie nerwu trójdzielnego powoduje uwolnienie neuroprzekaźników z zakończeń włókien nerwowych, w szczególności CGRP oraz substancji P. Następnie dochodzi do uwolnienia ze ściany naczyń krwionośnych mediatorów bólu (kinin) oraz pobudzenia komórek tucznych uwalniających histaminę, która rozszerza naczynia. Unerwione przez nerw trójdzielny naczynia stają się nadwrażliwe i odbierają fale tętna jako bodziec bólowy.</w:t>
      </w:r>
      <w:r w:rsidR="00DE6D53">
        <w:t xml:space="preserve"> </w:t>
      </w:r>
      <w:r w:rsidR="00DE6D53" w:rsidRPr="00DE6D53">
        <w:t>Pobudzenie struktur pnia mózgu wywołuje dodatkowe objawy wegetatywne (nudności i wymioty, nadwrażliwość na dźwięk, światło, zapachy)</w:t>
      </w:r>
      <w:r w:rsidR="00DE6D53">
        <w:t xml:space="preserve"> (</w:t>
      </w:r>
      <w:r w:rsidR="008608FA" w:rsidRPr="008608FA">
        <w:t>Gajewski i in.</w:t>
      </w:r>
      <w:r w:rsidR="00DE6D53" w:rsidRPr="008608FA">
        <w:t>,</w:t>
      </w:r>
      <w:r w:rsidR="008608FA" w:rsidRPr="008608FA">
        <w:t xml:space="preserve"> 2025;</w:t>
      </w:r>
      <w:r w:rsidR="00DE6D53" w:rsidRPr="008608FA">
        <w:t xml:space="preserve"> </w:t>
      </w:r>
      <w:r w:rsidR="008608FA" w:rsidRPr="008608FA">
        <w:t>Woroń, 2020</w:t>
      </w:r>
      <w:r w:rsidR="00DE6D53">
        <w:t>)</w:t>
      </w:r>
      <w:r w:rsidR="00DE6D53" w:rsidRPr="00DE6D53">
        <w:t>.</w:t>
      </w:r>
      <w:r w:rsidR="00C0699F">
        <w:t xml:space="preserve"> </w:t>
      </w:r>
    </w:p>
    <w:p w14:paraId="46919A54" w14:textId="4FF8AB12" w:rsidR="008608FA" w:rsidRDefault="008608FA" w:rsidP="006C073E">
      <w:pPr>
        <w:pStyle w:val="Podtytu"/>
        <w:jc w:val="both"/>
      </w:pPr>
      <w:r>
        <w:t xml:space="preserve">Właściwości </w:t>
      </w:r>
      <w:r w:rsidR="00456D1A">
        <w:t xml:space="preserve">i rola </w:t>
      </w:r>
      <w:r>
        <w:t>CGRP</w:t>
      </w:r>
    </w:p>
    <w:p w14:paraId="37F44D6D" w14:textId="77777777" w:rsidR="009D1EF6" w:rsidRDefault="0067081B" w:rsidP="006C073E">
      <w:pPr>
        <w:jc w:val="both"/>
        <w:rPr>
          <w:rFonts w:cs="Calibri"/>
        </w:rPr>
      </w:pPr>
      <w:r>
        <w:t>P</w:t>
      </w:r>
      <w:r w:rsidRPr="00862234">
        <w:t xml:space="preserve">eptyd </w:t>
      </w:r>
      <w:r w:rsidR="007C7BCF">
        <w:t>związany z</w:t>
      </w:r>
      <w:r w:rsidR="009D535D">
        <w:t xml:space="preserve"> gen</w:t>
      </w:r>
      <w:r w:rsidR="007C7BCF">
        <w:t>em</w:t>
      </w:r>
      <w:r w:rsidRPr="00862234">
        <w:t xml:space="preserve"> kalcytoniny</w:t>
      </w:r>
      <w:r w:rsidR="00E113B8">
        <w:t xml:space="preserve"> należy do rodziny peptydów kalcytoniny/CGRP i </w:t>
      </w:r>
      <w:r w:rsidRPr="00862234">
        <w:t xml:space="preserve"> </w:t>
      </w:r>
      <w:r w:rsidR="008608FA">
        <w:t>jest neuropeptydem zbudowanym z 37 aminokwasów</w:t>
      </w:r>
      <w:r>
        <w:t>, szeroko występującym w obwodowych neuronach czuciowych oraz ośrodkowym układzie nerwowym</w:t>
      </w:r>
      <w:r w:rsidR="00E113B8">
        <w:t xml:space="preserve"> (Hay i in., 2018)</w:t>
      </w:r>
      <w:r>
        <w:t xml:space="preserve">. </w:t>
      </w:r>
      <w:r w:rsidR="00F343D6">
        <w:t xml:space="preserve">CGRP jest syntetyzowany w jądrze neuronu i </w:t>
      </w:r>
      <w:r w:rsidR="00F343D6">
        <w:t xml:space="preserve">uwalniany z gęstych pęcherzyków rdzeniowych. </w:t>
      </w:r>
      <w:r>
        <w:t xml:space="preserve">Występuje w izoformach </w:t>
      </w:r>
      <w:r>
        <w:rPr>
          <w:rFonts w:cs="Calibri"/>
        </w:rPr>
        <w:t>α</w:t>
      </w:r>
      <w:r w:rsidR="00314B50">
        <w:rPr>
          <w:rFonts w:cs="Calibri"/>
        </w:rPr>
        <w:t xml:space="preserve"> – obecnej w ośrodkowym i obwodowym układzie nerwowym oraz</w:t>
      </w:r>
      <w:r>
        <w:t xml:space="preserve"> </w:t>
      </w:r>
      <w:r>
        <w:rPr>
          <w:rFonts w:cs="Calibri"/>
        </w:rPr>
        <w:t>β</w:t>
      </w:r>
      <w:r w:rsidR="00314B50">
        <w:rPr>
          <w:rFonts w:cs="Calibri"/>
        </w:rPr>
        <w:t xml:space="preserve"> – występującej głównie w zakończeniach nerwowych jelit</w:t>
      </w:r>
      <w:r>
        <w:rPr>
          <w:rFonts w:cs="Calibri"/>
        </w:rPr>
        <w:t>. Ludzki β-CGRP różni się trzema aminokwasami od formy α, natomiast aktywność biologiczna jest bardzo podobna</w:t>
      </w:r>
      <w:r w:rsidR="009D535D">
        <w:rPr>
          <w:rFonts w:cs="Calibri"/>
        </w:rPr>
        <w:t xml:space="preserve">. </w:t>
      </w:r>
      <w:r w:rsidR="00995C94" w:rsidRPr="00995C94">
        <w:rPr>
          <w:rFonts w:cs="Calibri"/>
        </w:rPr>
        <w:t>CGRP jest jednym z najliczniej występujących neuropeptydów w</w:t>
      </w:r>
      <w:r w:rsidR="00995C94">
        <w:rPr>
          <w:rFonts w:cs="Calibri"/>
        </w:rPr>
        <w:t xml:space="preserve"> </w:t>
      </w:r>
      <w:r w:rsidR="00995C94" w:rsidRPr="00995C94">
        <w:rPr>
          <w:rFonts w:cs="Calibri"/>
        </w:rPr>
        <w:t>układzie</w:t>
      </w:r>
      <w:r w:rsidR="00995C94">
        <w:rPr>
          <w:rFonts w:cs="Calibri"/>
        </w:rPr>
        <w:t xml:space="preserve"> </w:t>
      </w:r>
      <w:r w:rsidR="00995C94" w:rsidRPr="00995C94">
        <w:rPr>
          <w:rFonts w:cs="Calibri"/>
        </w:rPr>
        <w:t>nerwowym.</w:t>
      </w:r>
      <w:r w:rsidR="00995C94">
        <w:rPr>
          <w:rFonts w:cs="Calibri"/>
        </w:rPr>
        <w:t xml:space="preserve"> </w:t>
      </w:r>
      <w:r w:rsidR="00995C94" w:rsidRPr="00995C94">
        <w:rPr>
          <w:rFonts w:cs="Calibri"/>
        </w:rPr>
        <w:t>W krążeniu śródczaszkowym mózgu występuje</w:t>
      </w:r>
      <w:r w:rsidR="00995C94">
        <w:rPr>
          <w:rFonts w:cs="Calibri"/>
        </w:rPr>
        <w:t xml:space="preserve"> </w:t>
      </w:r>
      <w:r w:rsidR="00995C94" w:rsidRPr="00995C94">
        <w:rPr>
          <w:rFonts w:cs="Calibri"/>
        </w:rPr>
        <w:t>gęste zaopatrzenie w włókna nerwowe zawierające CGRP,</w:t>
      </w:r>
      <w:r w:rsidR="00995C94">
        <w:rPr>
          <w:rFonts w:cs="Calibri"/>
        </w:rPr>
        <w:t xml:space="preserve"> </w:t>
      </w:r>
      <w:r w:rsidR="00995C94" w:rsidRPr="00995C94">
        <w:rPr>
          <w:rFonts w:cs="Calibri"/>
        </w:rPr>
        <w:t>które mają swój początek w zwoju nerwu trójdzielnego.</w:t>
      </w:r>
      <w:r w:rsidR="009E2B43" w:rsidRPr="009E2B43">
        <w:t xml:space="preserve"> </w:t>
      </w:r>
      <w:r w:rsidR="009E2B43" w:rsidRPr="009E2B43">
        <w:rPr>
          <w:rFonts w:cs="Calibri"/>
        </w:rPr>
        <w:t>Najbardziej wyraźnym działaniem CGRP w naczyniach krwionośnych wewnątrzczaszkowych</w:t>
      </w:r>
      <w:r w:rsidR="009E2B43">
        <w:rPr>
          <w:rFonts w:cs="Calibri"/>
        </w:rPr>
        <w:t xml:space="preserve"> </w:t>
      </w:r>
      <w:r w:rsidR="009E2B43" w:rsidRPr="009E2B43">
        <w:rPr>
          <w:rFonts w:cs="Calibri"/>
        </w:rPr>
        <w:t>jest rozszerzenie naczyń krwionośnych. W mięśniach gładkich naczyń mózgowych</w:t>
      </w:r>
      <w:r w:rsidR="009E2B43">
        <w:rPr>
          <w:rFonts w:cs="Calibri"/>
        </w:rPr>
        <w:t xml:space="preserve"> </w:t>
      </w:r>
      <w:r w:rsidR="009E2B43" w:rsidRPr="009E2B43">
        <w:rPr>
          <w:rFonts w:cs="Calibri"/>
        </w:rPr>
        <w:t>podwyższenie poziomu cAMP po aktywacji CGRP powoduje</w:t>
      </w:r>
      <w:r w:rsidR="009E2B43">
        <w:rPr>
          <w:rFonts w:cs="Calibri"/>
        </w:rPr>
        <w:t xml:space="preserve"> </w:t>
      </w:r>
      <w:r w:rsidR="009E2B43" w:rsidRPr="009E2B43">
        <w:rPr>
          <w:rFonts w:cs="Calibri"/>
        </w:rPr>
        <w:t>rozkurcz naczyń krwionośnych</w:t>
      </w:r>
      <w:r w:rsidR="009E2B43">
        <w:rPr>
          <w:rFonts w:cs="Calibri"/>
        </w:rPr>
        <w:t xml:space="preserve">. Ponadto </w:t>
      </w:r>
      <w:r w:rsidR="009E2B43" w:rsidRPr="009E2B43">
        <w:rPr>
          <w:rFonts w:cs="Calibri"/>
        </w:rPr>
        <w:t>CGRP działa na receptory w neuronach czuciowych modulując</w:t>
      </w:r>
      <w:r w:rsidR="009E2B43">
        <w:rPr>
          <w:rFonts w:cs="Calibri"/>
        </w:rPr>
        <w:t xml:space="preserve"> przekaźnictwo i</w:t>
      </w:r>
      <w:r w:rsidR="009E2B43" w:rsidRPr="009E2B43">
        <w:rPr>
          <w:rFonts w:cs="Calibri"/>
        </w:rPr>
        <w:t xml:space="preserve"> wrażliwość na </w:t>
      </w:r>
      <w:r w:rsidR="009E2B43">
        <w:rPr>
          <w:rFonts w:cs="Calibri"/>
        </w:rPr>
        <w:t xml:space="preserve">ból. </w:t>
      </w:r>
      <w:r w:rsidR="009D535D" w:rsidRPr="009D535D">
        <w:rPr>
          <w:rFonts w:cs="Calibri"/>
        </w:rPr>
        <w:t>Stężenie CGRP zwiększa się podczas napadu migrenowego i  następnie obniża się do wartości prawidłowych po ustąpieniu napadu. Dożylne podanie CGRP wywołuje ból głowy przypominający napad migreny</w:t>
      </w:r>
      <w:r w:rsidR="004213D6">
        <w:rPr>
          <w:rFonts w:cs="Calibri"/>
        </w:rPr>
        <w:t xml:space="preserve"> </w:t>
      </w:r>
      <w:r w:rsidR="004213D6" w:rsidRPr="004213D6">
        <w:rPr>
          <w:rFonts w:cs="Calibri"/>
        </w:rPr>
        <w:t>(</w:t>
      </w:r>
      <w:r w:rsidR="00995C94">
        <w:rPr>
          <w:rFonts w:cs="Calibri"/>
        </w:rPr>
        <w:t xml:space="preserve">Russell i in., 2014; </w:t>
      </w:r>
      <w:r w:rsidR="00314B50" w:rsidRPr="00314B50">
        <w:rPr>
          <w:rFonts w:cs="Calibri"/>
        </w:rPr>
        <w:t xml:space="preserve">Raffaelli </w:t>
      </w:r>
      <w:r w:rsidR="00314B50">
        <w:rPr>
          <w:rFonts w:cs="Calibri"/>
        </w:rPr>
        <w:t>i in., 2018</w:t>
      </w:r>
      <w:r w:rsidR="009D535D">
        <w:rPr>
          <w:rFonts w:cs="Calibri"/>
        </w:rPr>
        <w:t xml:space="preserve">; </w:t>
      </w:r>
      <w:r w:rsidR="009D535D" w:rsidRPr="009D535D">
        <w:t>Iyengar</w:t>
      </w:r>
      <w:r w:rsidR="009D535D">
        <w:t xml:space="preserve"> i in., 2019</w:t>
      </w:r>
      <w:r w:rsidR="004213D6" w:rsidRPr="004213D6">
        <w:rPr>
          <w:rFonts w:cs="Calibri"/>
        </w:rPr>
        <w:t>)</w:t>
      </w:r>
      <w:r w:rsidR="004213D6">
        <w:rPr>
          <w:rFonts w:cs="Calibri"/>
        </w:rPr>
        <w:t>.</w:t>
      </w:r>
      <w:r w:rsidR="00B120C4">
        <w:rPr>
          <w:rFonts w:cs="Calibri"/>
        </w:rPr>
        <w:t xml:space="preserve"> </w:t>
      </w:r>
    </w:p>
    <w:p w14:paraId="09BF9254" w14:textId="77777777" w:rsidR="009D1EF6" w:rsidRDefault="00B120C4" w:rsidP="006C073E">
      <w:pPr>
        <w:ind w:firstLine="708"/>
        <w:jc w:val="both"/>
        <w:rPr>
          <w:rFonts w:cs="Calibri"/>
        </w:rPr>
      </w:pPr>
      <w:r>
        <w:rPr>
          <w:rFonts w:cs="Calibri"/>
        </w:rPr>
        <w:t>Receptor CGRP (CGRPR)</w:t>
      </w:r>
      <w:r w:rsidR="00DB681F">
        <w:rPr>
          <w:rFonts w:cs="Calibri"/>
        </w:rPr>
        <w:t xml:space="preserve"> jest strukturą złożoną z </w:t>
      </w:r>
      <w:r w:rsidR="002823D9" w:rsidRPr="002823D9">
        <w:rPr>
          <w:rFonts w:cs="Calibri"/>
        </w:rPr>
        <w:t>receptora podobnego do receptora kalcytoniny (</w:t>
      </w:r>
      <w:r w:rsidR="00EA5DA3">
        <w:rPr>
          <w:rFonts w:cs="Calibri"/>
        </w:rPr>
        <w:t>CLR</w:t>
      </w:r>
      <w:r w:rsidR="002823D9" w:rsidRPr="002823D9">
        <w:rPr>
          <w:rFonts w:cs="Calibri"/>
        </w:rPr>
        <w:t>),</w:t>
      </w:r>
      <w:r w:rsidR="002823D9">
        <w:rPr>
          <w:rFonts w:cs="Calibri"/>
        </w:rPr>
        <w:t xml:space="preserve"> </w:t>
      </w:r>
      <w:r w:rsidR="002823D9" w:rsidRPr="002823D9">
        <w:rPr>
          <w:rFonts w:cs="Calibri"/>
        </w:rPr>
        <w:t>białka modyfikującego aktywność receptora 1 (RAMP1)</w:t>
      </w:r>
      <w:r w:rsidR="002823D9">
        <w:rPr>
          <w:rFonts w:cs="Calibri"/>
        </w:rPr>
        <w:t>,</w:t>
      </w:r>
      <w:r w:rsidR="002823D9" w:rsidRPr="002823D9">
        <w:rPr>
          <w:rFonts w:cs="Calibri"/>
        </w:rPr>
        <w:t xml:space="preserve"> białka sprzęgającego receptor</w:t>
      </w:r>
      <w:r w:rsidR="002823D9">
        <w:rPr>
          <w:rFonts w:cs="Calibri"/>
        </w:rPr>
        <w:t xml:space="preserve"> </w:t>
      </w:r>
      <w:r w:rsidR="002823D9" w:rsidRPr="002823D9">
        <w:rPr>
          <w:rFonts w:cs="Calibri"/>
        </w:rPr>
        <w:t xml:space="preserve">(RCP) i podjednostki </w:t>
      </w:r>
      <w:r w:rsidR="002823D9">
        <w:rPr>
          <w:rFonts w:cs="Calibri"/>
        </w:rPr>
        <w:t>α</w:t>
      </w:r>
      <w:r w:rsidR="002823D9" w:rsidRPr="002823D9">
        <w:rPr>
          <w:rFonts w:cs="Calibri"/>
        </w:rPr>
        <w:t xml:space="preserve"> białka GS (GaS)</w:t>
      </w:r>
      <w:r w:rsidR="007B20DD">
        <w:rPr>
          <w:rFonts w:cs="Calibri"/>
        </w:rPr>
        <w:t xml:space="preserve"> (Walker i in., 2015)</w:t>
      </w:r>
      <w:r w:rsidR="002823D9" w:rsidRPr="002823D9">
        <w:rPr>
          <w:rFonts w:cs="Calibri"/>
        </w:rPr>
        <w:t>.</w:t>
      </w:r>
      <w:r w:rsidR="00995C94">
        <w:rPr>
          <w:rFonts w:cs="Calibri"/>
        </w:rPr>
        <w:t xml:space="preserve"> </w:t>
      </w:r>
      <w:r w:rsidR="00995C94" w:rsidRPr="00995C94">
        <w:rPr>
          <w:rFonts w:cs="Calibri"/>
        </w:rPr>
        <w:t>Receptor CGRP występuje w układzie nerwowym,</w:t>
      </w:r>
      <w:r w:rsidR="00995C94">
        <w:rPr>
          <w:rFonts w:cs="Calibri"/>
        </w:rPr>
        <w:t xml:space="preserve"> </w:t>
      </w:r>
      <w:r w:rsidR="00995C94" w:rsidRPr="00995C94">
        <w:rPr>
          <w:rFonts w:cs="Calibri"/>
        </w:rPr>
        <w:t>układzie sercowo-naczyniowym, a także w tkankach takich jak</w:t>
      </w:r>
      <w:r w:rsidR="00995C94">
        <w:rPr>
          <w:rFonts w:cs="Calibri"/>
        </w:rPr>
        <w:t xml:space="preserve"> </w:t>
      </w:r>
      <w:r w:rsidR="00995C94" w:rsidRPr="00995C94">
        <w:rPr>
          <w:rFonts w:cs="Calibri"/>
        </w:rPr>
        <w:t>tarczyca, przewód pokarmowy, ślinianka przyuszna, nadnercza,</w:t>
      </w:r>
      <w:r w:rsidR="00995C94">
        <w:rPr>
          <w:rFonts w:cs="Calibri"/>
        </w:rPr>
        <w:t xml:space="preserve"> </w:t>
      </w:r>
      <w:r w:rsidR="00995C94" w:rsidRPr="00995C94">
        <w:rPr>
          <w:rFonts w:cs="Calibri"/>
        </w:rPr>
        <w:t xml:space="preserve">przysadka mózgowa, nerki, kości, skóra i mięśnie szkieletowe. </w:t>
      </w:r>
    </w:p>
    <w:p w14:paraId="5E15942F" w14:textId="324B31BB" w:rsidR="008608FA" w:rsidRDefault="00995C94" w:rsidP="006C073E">
      <w:pPr>
        <w:ind w:firstLine="708"/>
        <w:jc w:val="both"/>
        <w:rPr>
          <w:rFonts w:cs="Calibri"/>
        </w:rPr>
      </w:pPr>
      <w:r w:rsidRPr="00995C94">
        <w:rPr>
          <w:rFonts w:cs="Calibri"/>
        </w:rPr>
        <w:lastRenderedPageBreak/>
        <w:t>Wiele miejsc działania zarówno CGRP, jak i</w:t>
      </w:r>
      <w:r>
        <w:rPr>
          <w:rFonts w:cs="Calibri"/>
        </w:rPr>
        <w:t xml:space="preserve"> </w:t>
      </w:r>
      <w:r w:rsidRPr="00995C94">
        <w:rPr>
          <w:rFonts w:cs="Calibri"/>
        </w:rPr>
        <w:t>jego receptorów znajduje się poza barierą krew-mózg,</w:t>
      </w:r>
      <w:r>
        <w:rPr>
          <w:rFonts w:cs="Calibri"/>
        </w:rPr>
        <w:t xml:space="preserve"> </w:t>
      </w:r>
      <w:r w:rsidRPr="00995C94">
        <w:rPr>
          <w:rFonts w:cs="Calibri"/>
        </w:rPr>
        <w:t>co</w:t>
      </w:r>
      <w:r>
        <w:rPr>
          <w:rFonts w:cs="Calibri"/>
        </w:rPr>
        <w:t xml:space="preserve"> </w:t>
      </w:r>
      <w:r w:rsidRPr="00995C94">
        <w:rPr>
          <w:rFonts w:cs="Calibri"/>
        </w:rPr>
        <w:t>wyjaśniałoby kliniczne działanie niektórych współczesnych</w:t>
      </w:r>
      <w:r>
        <w:rPr>
          <w:rFonts w:cs="Calibri"/>
        </w:rPr>
        <w:t xml:space="preserve"> </w:t>
      </w:r>
      <w:r w:rsidRPr="00995C94">
        <w:rPr>
          <w:rFonts w:cs="Calibri"/>
        </w:rPr>
        <w:t>przeciwciał, których przenikanie przez barierę jest ograniczone</w:t>
      </w:r>
      <w:r>
        <w:rPr>
          <w:rFonts w:cs="Calibri"/>
        </w:rPr>
        <w:t xml:space="preserve"> (Russell i in., 2014)</w:t>
      </w:r>
      <w:r w:rsidRPr="00995C94">
        <w:rPr>
          <w:rFonts w:cs="Calibri"/>
        </w:rPr>
        <w:t>.</w:t>
      </w:r>
    </w:p>
    <w:p w14:paraId="75364D76" w14:textId="35AEB6FD" w:rsidR="00147C7E" w:rsidRDefault="00147C7E" w:rsidP="006C073E">
      <w:pPr>
        <w:pStyle w:val="Podtytu"/>
        <w:jc w:val="both"/>
      </w:pPr>
      <w:r>
        <w:t>Gepanty</w:t>
      </w:r>
    </w:p>
    <w:p w14:paraId="3D085F1B" w14:textId="77777777" w:rsidR="005330F5" w:rsidRDefault="00147C7E" w:rsidP="006C073E">
      <w:pPr>
        <w:jc w:val="both"/>
      </w:pPr>
      <w:r>
        <w:t>Antagoniści CGRPR są grupą małocząsteczkowych związków blokujących receptor CGRP.</w:t>
      </w:r>
      <w:r w:rsidR="007C7BCF">
        <w:t xml:space="preserve"> </w:t>
      </w:r>
      <w:r w:rsidR="00113219">
        <w:t>Zarejestrowane wskazanie do stosowania w profilaktyce migreny u dorosłych mają rimegepant oraz atogepant.</w:t>
      </w:r>
      <w:r w:rsidR="00DF71F5">
        <w:t xml:space="preserve"> </w:t>
      </w:r>
    </w:p>
    <w:p w14:paraId="69C37F17" w14:textId="77777777" w:rsidR="005330F5" w:rsidRDefault="001402EC" w:rsidP="006C073E">
      <w:pPr>
        <w:ind w:firstLine="708"/>
        <w:jc w:val="both"/>
      </w:pPr>
      <w:r>
        <w:t xml:space="preserve">Rimegepant jest zarejestrowany jednocześnie do leczenia doraźnego i profilaktyki migreny. Wiąże się selektywnie z wysokim powinowactwem z ludzkim receptorem peptydu związanego z genem kalcytoniny (ang. calcitonin gene-related peptide, CGRP) i wykazuje wobec niego działanie antagonistyczne. Zależność między aktywnością farmakodynamiczną a mechanizmem, za pośrednictwem którego rimegepant wywiera swoje działanie kliniczne, nie jest znana. Zalecana dawka to 75 mg rimegepantu co drugi dzień. Po podaniu doustnym rimegepant jest wchłaniany i osiąga stężenie maksymalne po 1,5 godziny. Po podaniu dawki supraterapeutycznej wynoszącej 300 mg bezwzględna dostępność biologiczna rimegepantu po podaniu doustnym wyniosła około 64%. Objętość dystrybucji rimegepantu w stanie stacjonarnym to 120 l. Rimegepant wiąże się w przybliżeniu w 96% z białkami osocza. Rimegepant jest głównie metabolizowany przez enzym CYP3A4 i w mniejszym stopniu przez enzym CYP2C9. Inhibitory enzymu CYP3A4 powodują zwiększenie stężenia rimegepantu w osoczu. Nie jest zalecane jednoczesne podawanie rimegepantu z </w:t>
      </w:r>
      <w:r>
        <w:t>silnymi inhibitorami enzymu CYP3A4 (np. klarytromycyna, itrakonazol, rytonawir).  Należy unikać przyjmowania w ciągu 48 godzin kolejnej dawki rimegepantu, jeśli jest on stosowany razem z umiarkowanymi inhibitorami enzymu CYP3A4 (np. flukonazol). Rimegepant jest głównie eliminowany w postaci niezmienionej (ok. 77% dawki) bez istotnych metabolitów (tj. &gt;10%) wykrywanych w osoczu, głównie z kałem (42%) i moczem (51%). Okres półtrwania rimegepantu w fazie eliminacji u osób zdrowych wynosi około 11 godzin. Stosowanie leku nie jest zalecane u pacjentów z ciężkimi zaburzeniami czynności wątroby oraz pacjentów ze schyłkową niewydolnością nerek (CrCl &lt;15 ml/min). Najczęściej występującym działaniem niepożądanym w przypadku leczenia doraźnego oraz profilaktyki migreny były nudności - odpowiednio u 1,2% i 1,4% pacjentów. Większość działań niepożądanych miała nasilenie łagodne lub umiarkowane. Nadwrażliwość, w tym duszność i ciężka wysypka, wystąpiła u mniej niż 1% leczonych pacjentów (Biohaven Pharmaceutical, 2022).</w:t>
      </w:r>
      <w:r w:rsidR="009D1EF6">
        <w:t xml:space="preserve"> </w:t>
      </w:r>
    </w:p>
    <w:p w14:paraId="70E0E263" w14:textId="05355326" w:rsidR="00147C7E" w:rsidRDefault="001402EC" w:rsidP="006C073E">
      <w:pPr>
        <w:ind w:firstLine="708"/>
        <w:jc w:val="both"/>
      </w:pPr>
      <w:r>
        <w:t xml:space="preserve">Atogepant wykazuje powinowactwo do kilku receptorów z rodziny receptorów kalcytoniny/CGRP. Dokładny mechanizm działania atogepantu w profilaktyce migreny jest nieustalony. Postulowane działanie ma wynikać z hamującego efektu wywieranego na receptor CGRP. Zalecana dawka to 60 mg atogepantu przyjmowane raz na dobę. Po podaniu doustnym atogepant jest wchłaniany i osiąga szczytowe stężenia w osoczu po około 1–2 godzinach. Wiązanie atogepantu z białkami osocza nie było zależne od stężenia w zakresie stężeń 0,1–10 μm; frakcja niezwiązanego atogepantu w ludzkim osoczu wyniosła około 4,7%. Średnia pozorna objętość dystrybucji po </w:t>
      </w:r>
      <w:r>
        <w:lastRenderedPageBreak/>
        <w:t>podaniu doustnym wynosi około 292 l. Atogepant jest eliminowany w drodze metabolizmu, głównie przy udziale enzymu CYP3A4. W warunkach in vitro atogepant nie jest inhibitorem enzymów CYP3A4, natomiast jednoczesne podawanie silnych induktorów CYP3A4 powodowało znaczne zmniejszenie Cmax i AUC. Okres półtrwania atogepantu w fazie eliminacji wynosi około 11 godzin. Eliminacja w postaci niezmienionej następuje głównie z kałem i moczem. Nerkowa droga eliminacji odgrywa niewielką rolę w usuwaniu atogepantu. Na podstawie populacyjnej analizy farmakokinetycznej nie stwierdzono istotnych różnic w farmakokinetyce atogepantu u pacjentów z łagodnymi lub umiarkowanymi zaburzeniami czynności nerek  Ze względu na brak badań stosowanie leku nie jest zalecane u pacjentów z ciężkimi zaburzeniami czynności wątroby oraz pacjentów ze schyłkową niewydolnością nerek (CrCl &lt;15 ml/min). Należy unikać stosowania leku u pacjentów z ciężkimi zaburzeniami czynności wątroby. Najczęściej obserwowanymi działaniami niepożądanymi leku były nudności (9%), zaparcia (8%)</w:t>
      </w:r>
      <w:r w:rsidR="00660D44">
        <w:t xml:space="preserve"> </w:t>
      </w:r>
      <w:r>
        <w:t>i zmęczenie/senność (5%). Większość działań miała nasilenie łagodne lub umiarkowane. Działaniem niepożądanym, które najczęściej prowadziło do przerwania leczenia, były nudności (0,4%) (AbbVie, 2025).</w:t>
      </w:r>
    </w:p>
    <w:p w14:paraId="1BBFD7C1" w14:textId="1B81E196" w:rsidR="00DF71F5" w:rsidRDefault="002447EC" w:rsidP="006C073E">
      <w:pPr>
        <w:pStyle w:val="Podtytu"/>
        <w:jc w:val="both"/>
      </w:pPr>
      <w:r>
        <w:t xml:space="preserve">Leki biologiczne </w:t>
      </w:r>
      <w:r w:rsidR="00DF71F5">
        <w:t>mAbs</w:t>
      </w:r>
    </w:p>
    <w:p w14:paraId="003E0CA7" w14:textId="77777777" w:rsidR="005330F5" w:rsidRDefault="002921F4" w:rsidP="006C073E">
      <w:pPr>
        <w:jc w:val="both"/>
      </w:pPr>
      <w:r>
        <w:t xml:space="preserve">Przeciwciała monoklonalne anty-CGRP to duże, syntetyzowane cząsteczki IgG o wysokiej stabilności, co przekłada się na długi okres półtrwania, swoistość i powinowactwo do celu. Zmniejsza to interakcje lekowe i toksyczność. Ich długi okres półtrwania umożliwia miesięczne, a </w:t>
      </w:r>
      <w:r>
        <w:t xml:space="preserve">nawet kwartalne dawkowanie, co powinno poprawić </w:t>
      </w:r>
      <w:r w:rsidR="002447EC">
        <w:t>compliance</w:t>
      </w:r>
      <w:r>
        <w:t>. Ze względu na ich duże rozmiary, muszą być podawane pozajelitowo (dożylnie, podskórnie lub domięśniowo), nie przekraczają również bariery krew-mózg. Przeciwciała monoklonalne są metabolizowane przez układ siateczkowo-śródbłonkowy, a także w skórze, mięśniach i jelitach, a nie przez wątrobę. (Ceriani i in., 2019).</w:t>
      </w:r>
      <w:r w:rsidR="004239AE">
        <w:t xml:space="preserve"> </w:t>
      </w:r>
    </w:p>
    <w:p w14:paraId="79590520" w14:textId="3E14F31A" w:rsidR="005330F5" w:rsidRDefault="004239AE" w:rsidP="006C073E">
      <w:pPr>
        <w:ind w:firstLine="708"/>
        <w:jc w:val="both"/>
      </w:pPr>
      <w:r>
        <w:t xml:space="preserve">Erenumab jest w pełni ludzkim przeciwciałem monoklonalnym IgG2 wytwarzanym w technologii rekombinacji DNA w komórkach jajnika chomika chińskiego (CHO), które wiąże się z receptorem peptydu związanego z genem kalcytoniny (CGRP). Erenumab silnie i swoiście konkuruje o wiązanie z CGRP oraz hamuje jego aktywność w receptorze CGRP, i nie wykazuje istotnego działania na inne receptory z rodziny kalcytoniny. Podawany jest podskórnie, w formie roztworu we wstrzykiwaczu. Zalecana dawka u osób dorosłych wynosi 70 mg erenumabu co 4 tygodnie. Niektórzy pacjenci mogą odnieść korzyść z podania dawki 140 mg co 4 tygodnie . Po podaniu pojedynczej dawki podskórnej 140 mg lub 70 mg erenumabu zdrowym </w:t>
      </w:r>
      <w:r w:rsidR="005150B5">
        <w:t>dorosłym osobom</w:t>
      </w:r>
      <w:r>
        <w:t xml:space="preserve"> mediana największego stężenia w surowicy została osiągnięta po 4 do 6 dniach, a szacunkowa bezwzględna dostępność biologiczna wyniosła 82%. Erenumab, będący ludzkim przeciwciałem monoklonalnym nie jest metabolizowany przez enzymy cytochromu P450, a klirens wątrobowy nie jest głównym szlakiem usuwania erenumabu. W oparciu o szlaki metaboliczne przeciwciał monoklonalnych, nie oczekuje się wpływu na ekspozycję innych jednocześnie stosowanych produktów leczniczych. Przez cały czas podawania</w:t>
      </w:r>
      <w:r w:rsidR="005150B5">
        <w:t>,</w:t>
      </w:r>
      <w:r>
        <w:t xml:space="preserve"> erenumab jest eliminowany głównie za pośrednictwem nieswoistej proteolizy, a efektywny okres </w:t>
      </w:r>
      <w:r>
        <w:lastRenderedPageBreak/>
        <w:t>półtrwania wynosi 28 dni. Przeciwciała monoklonalne nie wydają się być eliminowane przez nerki. Głównymi działaniami niepożądanymi były reakcje w miejscu wstrzyknięcia (5,6%/4,5%), zaparcie (1,3%/3,2%), skurcze mięśni (0,1%/2,0%) i świąd (0,7%/1,8%). Większość reakcji miała nasilenie łagodne lub umiarkowane. Mniej niż 2% pacjentów przerwało terapię ze względu na działania niepożądane (Novartis, 2025).</w:t>
      </w:r>
      <w:r w:rsidRPr="004239AE">
        <w:t xml:space="preserve"> </w:t>
      </w:r>
    </w:p>
    <w:p w14:paraId="4DCE949C" w14:textId="77777777" w:rsidR="005330F5" w:rsidRDefault="004239AE" w:rsidP="006C073E">
      <w:pPr>
        <w:ind w:firstLine="708"/>
        <w:jc w:val="both"/>
      </w:pPr>
      <w:r>
        <w:t xml:space="preserve">Fremanezumab jest humanizowanym przeciwciałem monoklonalnym IgG2Δa/kappa wytwarzanym metodą rekombinacji DNA w komórkach jajnika chomika chińskiego (ang. Chinese hamster ovary, CHO). Wiąże się wybiórczo z ligandem CGRP  i blokuje wiązanie się obydwu izoform CGRP (CGRP α oraz β) z receptorem CGRP. Fremanezumab wykazuje wysoką swoistość wobec CGRP i nie wiąże się z pokrewnymi peptydami. Jest wskazany do stosowania w profilaktyce migreny u osób dorosłych, u których występują co najmniej 4 dni z migreną w miesiącu. Podawany jest podskórnie w formie roztworu w ampułko-strzykawce. Dostępne są dwa schematy dawkowania: 225 mg raz na miesiąc lub </w:t>
      </w:r>
      <w:r w:rsidR="00C0590E">
        <w:t>6</w:t>
      </w:r>
      <w:r>
        <w:t>75 mg co trzy miesiące. Po pojedynczym podaniu podskórnym 225 mg i 675 mg fremanezumabu maksymalne stężenie ustala się po 5-7 dniach, a biodostępność była równa 66%. Fremanezumab jest rozkładany na drodze proteolizy enzymatycznej na małe peptydy i aminokwasy, nie ulega eliminacji nerkowej. Do często zgłaszanych działań niepożądanych należały miejscowe reakcje w miejscu wstrzyknięcia (ból [24%], stwardnienie [17%], rumień [16%] i świąd [2%]) (Teva, 2021).</w:t>
      </w:r>
      <w:r w:rsidRPr="004239AE">
        <w:t xml:space="preserve"> </w:t>
      </w:r>
    </w:p>
    <w:p w14:paraId="5E5319A6" w14:textId="14D19FDC" w:rsidR="005330F5" w:rsidRDefault="004239AE" w:rsidP="006C073E">
      <w:pPr>
        <w:ind w:firstLine="708"/>
        <w:jc w:val="both"/>
      </w:pPr>
      <w:r>
        <w:t>Eptinezumab jest rekombinowanym  humanizowanym</w:t>
      </w:r>
      <w:r w:rsidR="006C073E">
        <w:t xml:space="preserve"> </w:t>
      </w:r>
      <w:r>
        <w:t xml:space="preserve">przeciwciałem </w:t>
      </w:r>
      <w:r>
        <w:t>monoklonalnym IgG1, wytwarzanym w komórkach drożdży Pichia pastoris, które wiąże się z postaciami α i β ligandu ludzkiego CGRP. Wykazuje wysoką swoistość wobec CGRP i nie wiąże się z pokrewnymi peptydami. Jest wskazany w profilaktyce migreny u osób dorosłych, u których ataki migreny występują co najmniej przez 4 dni w miesiącu. Podawany jest w formie 30 minutowej infuzji dożylnej, co 12 tygodni, w dawce 100 mg lub 300 mg. Ze względu na drogę podania biodostępność wynosi 100%. Stan stacjonarny ustala się po pierwszej dawce podczas schematu dawkowania raz na 12 tygodni. Czas osiągnięcia stężenia maksymalnego to 30 minut, czas półtrwania ustalono na 27 dni. Eptinezumab nie jest metabolizowany przez enzymy cytochromu P450. Dlatego interakcje eptinezumabu z towarzyszącymi lekami będącymi substratami, induktorami lub inhibitorami enzymów cytochromu P450 są uważane za mało prawdopodobne. Najczęstszymi działaniami niepożądanymi były zapalenie nosogardzieli i nadwrażliwość. Większość reakcji nadwrażliwości wystąpiła podczas infuzji i nie były one ciężkie. Zdarzenia niepożądane związane z miejscem infuzji występowały rzadko (H. Lundbeck, 2024).</w:t>
      </w:r>
      <w:r w:rsidRPr="004239AE">
        <w:t xml:space="preserve"> </w:t>
      </w:r>
    </w:p>
    <w:p w14:paraId="4949DDC5" w14:textId="7488C64E" w:rsidR="00156DC0" w:rsidRDefault="004239AE" w:rsidP="006C073E">
      <w:pPr>
        <w:ind w:firstLine="708"/>
        <w:jc w:val="both"/>
      </w:pPr>
      <w:r>
        <w:t xml:space="preserve">Galkanezumab jest humanizowanym przeciwciałem monoklonalnym należącym do klasy IgG4, które wiąże się swoiście z CGRP. Jest wskazany w profilaktyce migreny u osób dorosłych, u których ataki migreny występują co najmniej przez 4 dni w miesiącu. Podawany jest w formie roztworu , podskórnie, przy użyciu wstrzykiwacza. Po podaniu początkowej dawki nasycającej 240 mg stosowana jest dawka 120 mg raz na miesiąc. </w:t>
      </w:r>
      <w:r w:rsidR="00E86126">
        <w:t>Stan</w:t>
      </w:r>
      <w:r>
        <w:t xml:space="preserve"> stacjonarny ustala się po podaniu dawki nasycającej, a okres </w:t>
      </w:r>
      <w:r>
        <w:lastRenderedPageBreak/>
        <w:t xml:space="preserve">półtrwania galkanezumabu wynosi 27 dni.. Galkanezumab  nie jest metabolizowany przez enzymy cytochromu P450, zostaje rozłożony do niewielkich peptydów i aminokwasów na szlakach katabolicznych w ten sam sposób, co endogenna IgG. Wydalanie nerkowe jest pomijalne. Niepożądane działania zgłaszane po </w:t>
      </w:r>
      <w:r>
        <w:t xml:space="preserve">zastosowaniu </w:t>
      </w:r>
      <w:r w:rsidR="00FE226E">
        <w:t>leku</w:t>
      </w:r>
      <w:r>
        <w:t xml:space="preserve"> w dawce 120 mg i 240 mg to: ból w miejscu wstrzyknięcia (10,1%-11,6%), odczyny w miejscu wstrzyknięcia (9,9%-14,5%), zawroty głowy (0,7%-1,2%), zaparcie (1,0%-1,5%), świąd (0,7%-1,2%) i pokrzywka (0,3%-0,1%). Większość reakcji miało nasilenie łagodne lub umiarkowane (Eli Lilly, 2018).</w:t>
      </w:r>
    </w:p>
    <w:p w14:paraId="7D1B16E2" w14:textId="77777777" w:rsidR="006C073E" w:rsidRDefault="006C073E" w:rsidP="00F407FB">
      <w:pPr>
        <w:sectPr w:rsidR="006C073E" w:rsidSect="006C073E">
          <w:type w:val="continuous"/>
          <w:pgSz w:w="11906" w:h="16838"/>
          <w:pgMar w:top="1417" w:right="1417" w:bottom="1417" w:left="1417" w:header="708" w:footer="708" w:gutter="0"/>
          <w:pgNumType w:start="0"/>
          <w:cols w:num="2" w:space="708"/>
          <w:titlePg/>
          <w:docGrid w:linePitch="360"/>
        </w:sectPr>
      </w:pPr>
    </w:p>
    <w:p w14:paraId="1C9BD48F" w14:textId="77777777" w:rsidR="009D1EF6" w:rsidRDefault="009D1EF6" w:rsidP="00F407FB"/>
    <w:p w14:paraId="3FD7F248" w14:textId="41D06813" w:rsidR="00156DC0" w:rsidRPr="008E1B94" w:rsidRDefault="008E1B94" w:rsidP="00156DC0">
      <w:pPr>
        <w:pStyle w:val="Legenda"/>
        <w:keepNext/>
        <w:rPr>
          <w:i w:val="0"/>
          <w:iCs w:val="0"/>
          <w:color w:val="auto"/>
          <w:sz w:val="22"/>
          <w:szCs w:val="22"/>
        </w:rPr>
      </w:pPr>
      <w:r w:rsidRPr="008E1B94">
        <w:rPr>
          <w:i w:val="0"/>
          <w:iCs w:val="0"/>
          <w:color w:val="auto"/>
          <w:sz w:val="22"/>
          <w:szCs w:val="22"/>
        </w:rPr>
        <w:t xml:space="preserve">Tabela </w:t>
      </w:r>
      <w:r w:rsidR="00156DC0" w:rsidRPr="008E1B94">
        <w:rPr>
          <w:i w:val="0"/>
          <w:iCs w:val="0"/>
          <w:color w:val="auto"/>
          <w:sz w:val="22"/>
          <w:szCs w:val="22"/>
        </w:rPr>
        <w:t xml:space="preserve">mAbs i gepanty w prewencji migreny </w:t>
      </w:r>
    </w:p>
    <w:tbl>
      <w:tblPr>
        <w:tblW w:w="9500" w:type="dxa"/>
        <w:tblCellMar>
          <w:left w:w="70" w:type="dxa"/>
          <w:right w:w="70" w:type="dxa"/>
        </w:tblCellMar>
        <w:tblLook w:val="04A0" w:firstRow="1" w:lastRow="0" w:firstColumn="1" w:lastColumn="0" w:noHBand="0" w:noVBand="1"/>
      </w:tblPr>
      <w:tblGrid>
        <w:gridCol w:w="1302"/>
        <w:gridCol w:w="1281"/>
        <w:gridCol w:w="1653"/>
        <w:gridCol w:w="1415"/>
        <w:gridCol w:w="1465"/>
        <w:gridCol w:w="1281"/>
        <w:gridCol w:w="1103"/>
      </w:tblGrid>
      <w:tr w:rsidR="00156DC0" w:rsidRPr="008E1B94" w14:paraId="6AA17B36" w14:textId="77777777" w:rsidTr="002A4C76">
        <w:trPr>
          <w:trHeight w:val="570"/>
        </w:trPr>
        <w:tc>
          <w:tcPr>
            <w:tcW w:w="1320" w:type="dxa"/>
            <w:tcBorders>
              <w:top w:val="single" w:sz="4" w:space="0" w:color="auto"/>
              <w:left w:val="nil"/>
              <w:bottom w:val="single" w:sz="4" w:space="0" w:color="auto"/>
              <w:right w:val="nil"/>
            </w:tcBorders>
            <w:vAlign w:val="bottom"/>
            <w:hideMark/>
          </w:tcPr>
          <w:p w14:paraId="4E8861C1" w14:textId="77777777" w:rsidR="00156DC0" w:rsidRPr="008E1B94" w:rsidRDefault="00156DC0" w:rsidP="002A4C76">
            <w:pPr>
              <w:spacing w:line="240" w:lineRule="auto"/>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 </w:t>
            </w:r>
          </w:p>
        </w:tc>
        <w:tc>
          <w:tcPr>
            <w:tcW w:w="1420" w:type="dxa"/>
            <w:tcBorders>
              <w:top w:val="single" w:sz="4" w:space="0" w:color="auto"/>
              <w:left w:val="nil"/>
              <w:bottom w:val="single" w:sz="4" w:space="0" w:color="auto"/>
              <w:right w:val="nil"/>
            </w:tcBorders>
            <w:vAlign w:val="bottom"/>
            <w:hideMark/>
          </w:tcPr>
          <w:p w14:paraId="611AF7DC" w14:textId="77777777" w:rsidR="00156DC0" w:rsidRPr="008E1B94" w:rsidRDefault="00156DC0" w:rsidP="002A4C76">
            <w:pPr>
              <w:spacing w:line="240" w:lineRule="auto"/>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Erenumab</w:t>
            </w:r>
          </w:p>
        </w:tc>
        <w:tc>
          <w:tcPr>
            <w:tcW w:w="1480" w:type="dxa"/>
            <w:tcBorders>
              <w:top w:val="single" w:sz="4" w:space="0" w:color="auto"/>
              <w:left w:val="nil"/>
              <w:bottom w:val="single" w:sz="4" w:space="0" w:color="auto"/>
              <w:right w:val="nil"/>
            </w:tcBorders>
            <w:vAlign w:val="bottom"/>
            <w:hideMark/>
          </w:tcPr>
          <w:p w14:paraId="62A3AF73" w14:textId="477B5E60" w:rsidR="00156DC0" w:rsidRPr="008E1B94" w:rsidRDefault="008E1B94" w:rsidP="002A4C76">
            <w:pPr>
              <w:spacing w:line="240" w:lineRule="auto"/>
              <w:rPr>
                <w:rFonts w:eastAsia="Times New Roman" w:cs="Calibri"/>
                <w:color w:val="000000"/>
                <w:kern w:val="0"/>
                <w:sz w:val="22"/>
                <w:lang w:eastAsia="pl-PL"/>
                <w14:ligatures w14:val="none"/>
              </w:rPr>
            </w:pPr>
            <w:r>
              <w:t>Fremanezumab</w:t>
            </w:r>
          </w:p>
        </w:tc>
        <w:tc>
          <w:tcPr>
            <w:tcW w:w="1480" w:type="dxa"/>
            <w:tcBorders>
              <w:top w:val="single" w:sz="4" w:space="0" w:color="auto"/>
              <w:left w:val="nil"/>
              <w:bottom w:val="single" w:sz="4" w:space="0" w:color="auto"/>
              <w:right w:val="nil"/>
            </w:tcBorders>
            <w:vAlign w:val="bottom"/>
            <w:hideMark/>
          </w:tcPr>
          <w:p w14:paraId="3C8ECAA2" w14:textId="77777777" w:rsidR="00156DC0" w:rsidRPr="008E1B94" w:rsidRDefault="00156DC0" w:rsidP="002A4C76">
            <w:pPr>
              <w:spacing w:line="240" w:lineRule="auto"/>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Eptizenumab</w:t>
            </w:r>
          </w:p>
        </w:tc>
        <w:tc>
          <w:tcPr>
            <w:tcW w:w="1460" w:type="dxa"/>
            <w:tcBorders>
              <w:top w:val="single" w:sz="4" w:space="0" w:color="auto"/>
              <w:left w:val="nil"/>
              <w:bottom w:val="single" w:sz="4" w:space="0" w:color="auto"/>
              <w:right w:val="nil"/>
            </w:tcBorders>
            <w:vAlign w:val="bottom"/>
            <w:hideMark/>
          </w:tcPr>
          <w:p w14:paraId="4D008C5B" w14:textId="77777777" w:rsidR="00156DC0" w:rsidRPr="008E1B94" w:rsidRDefault="00156DC0" w:rsidP="002A4C76">
            <w:pPr>
              <w:spacing w:line="240" w:lineRule="auto"/>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Galkenazumab</w:t>
            </w:r>
          </w:p>
        </w:tc>
        <w:tc>
          <w:tcPr>
            <w:tcW w:w="1320" w:type="dxa"/>
            <w:tcBorders>
              <w:top w:val="single" w:sz="4" w:space="0" w:color="auto"/>
              <w:left w:val="nil"/>
              <w:bottom w:val="single" w:sz="4" w:space="0" w:color="auto"/>
              <w:right w:val="nil"/>
            </w:tcBorders>
            <w:vAlign w:val="bottom"/>
            <w:hideMark/>
          </w:tcPr>
          <w:p w14:paraId="2915614B" w14:textId="77777777" w:rsidR="00156DC0" w:rsidRPr="008E1B94" w:rsidRDefault="00156DC0" w:rsidP="002A4C76">
            <w:pPr>
              <w:spacing w:line="240" w:lineRule="auto"/>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Rimegepant</w:t>
            </w:r>
          </w:p>
        </w:tc>
        <w:tc>
          <w:tcPr>
            <w:tcW w:w="1020" w:type="dxa"/>
            <w:tcBorders>
              <w:top w:val="single" w:sz="4" w:space="0" w:color="auto"/>
              <w:left w:val="nil"/>
              <w:bottom w:val="single" w:sz="4" w:space="0" w:color="auto"/>
              <w:right w:val="nil"/>
            </w:tcBorders>
            <w:vAlign w:val="bottom"/>
            <w:hideMark/>
          </w:tcPr>
          <w:p w14:paraId="344232BE" w14:textId="77777777" w:rsidR="00156DC0" w:rsidRPr="008E1B94" w:rsidRDefault="00156DC0" w:rsidP="002A4C76">
            <w:pPr>
              <w:spacing w:line="240" w:lineRule="auto"/>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Atogepant</w:t>
            </w:r>
          </w:p>
        </w:tc>
      </w:tr>
      <w:tr w:rsidR="00156DC0" w:rsidRPr="008E1B94" w14:paraId="52D0E3BB" w14:textId="77777777" w:rsidTr="002A4C76">
        <w:trPr>
          <w:trHeight w:val="503"/>
        </w:trPr>
        <w:tc>
          <w:tcPr>
            <w:tcW w:w="1320" w:type="dxa"/>
            <w:tcBorders>
              <w:top w:val="nil"/>
              <w:left w:val="nil"/>
              <w:bottom w:val="nil"/>
              <w:right w:val="nil"/>
            </w:tcBorders>
            <w:vAlign w:val="center"/>
            <w:hideMark/>
          </w:tcPr>
          <w:p w14:paraId="5000BECD" w14:textId="77777777" w:rsidR="00156DC0" w:rsidRPr="008E1B94" w:rsidRDefault="00156DC0" w:rsidP="002A4C76">
            <w:pPr>
              <w:spacing w:line="240" w:lineRule="auto"/>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typ Ig</w:t>
            </w:r>
          </w:p>
        </w:tc>
        <w:tc>
          <w:tcPr>
            <w:tcW w:w="1420" w:type="dxa"/>
            <w:tcBorders>
              <w:top w:val="nil"/>
              <w:left w:val="nil"/>
              <w:bottom w:val="nil"/>
              <w:right w:val="nil"/>
            </w:tcBorders>
            <w:vAlign w:val="center"/>
            <w:hideMark/>
          </w:tcPr>
          <w:p w14:paraId="47A4A5CC"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IgG2</w:t>
            </w:r>
          </w:p>
        </w:tc>
        <w:tc>
          <w:tcPr>
            <w:tcW w:w="1480" w:type="dxa"/>
            <w:tcBorders>
              <w:top w:val="nil"/>
              <w:left w:val="nil"/>
              <w:bottom w:val="nil"/>
              <w:right w:val="nil"/>
            </w:tcBorders>
            <w:vAlign w:val="center"/>
            <w:hideMark/>
          </w:tcPr>
          <w:p w14:paraId="12796F75"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 xml:space="preserve">IgG2Δa/kappa </w:t>
            </w:r>
          </w:p>
        </w:tc>
        <w:tc>
          <w:tcPr>
            <w:tcW w:w="1480" w:type="dxa"/>
            <w:tcBorders>
              <w:top w:val="nil"/>
              <w:left w:val="nil"/>
              <w:bottom w:val="nil"/>
              <w:right w:val="nil"/>
            </w:tcBorders>
            <w:vAlign w:val="center"/>
            <w:hideMark/>
          </w:tcPr>
          <w:p w14:paraId="57B5A801"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IgG1</w:t>
            </w:r>
          </w:p>
        </w:tc>
        <w:tc>
          <w:tcPr>
            <w:tcW w:w="1460" w:type="dxa"/>
            <w:tcBorders>
              <w:top w:val="nil"/>
              <w:left w:val="nil"/>
              <w:bottom w:val="nil"/>
              <w:right w:val="nil"/>
            </w:tcBorders>
            <w:vAlign w:val="center"/>
            <w:hideMark/>
          </w:tcPr>
          <w:p w14:paraId="6EFB19A8"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IgG4</w:t>
            </w:r>
          </w:p>
        </w:tc>
        <w:tc>
          <w:tcPr>
            <w:tcW w:w="1320" w:type="dxa"/>
            <w:tcBorders>
              <w:top w:val="nil"/>
              <w:left w:val="nil"/>
              <w:bottom w:val="nil"/>
              <w:right w:val="nil"/>
            </w:tcBorders>
            <w:vAlign w:val="center"/>
            <w:hideMark/>
          </w:tcPr>
          <w:p w14:paraId="3214466E"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w:t>
            </w:r>
          </w:p>
        </w:tc>
        <w:tc>
          <w:tcPr>
            <w:tcW w:w="1020" w:type="dxa"/>
            <w:tcBorders>
              <w:top w:val="nil"/>
              <w:left w:val="nil"/>
              <w:bottom w:val="nil"/>
              <w:right w:val="nil"/>
            </w:tcBorders>
            <w:vAlign w:val="center"/>
            <w:hideMark/>
          </w:tcPr>
          <w:p w14:paraId="4EDEC24D"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w:t>
            </w:r>
          </w:p>
        </w:tc>
      </w:tr>
      <w:tr w:rsidR="00156DC0" w:rsidRPr="008E1B94" w14:paraId="7ECF1827" w14:textId="77777777" w:rsidTr="002A4C76">
        <w:trPr>
          <w:trHeight w:val="570"/>
        </w:trPr>
        <w:tc>
          <w:tcPr>
            <w:tcW w:w="1320" w:type="dxa"/>
            <w:tcBorders>
              <w:top w:val="nil"/>
              <w:left w:val="nil"/>
              <w:bottom w:val="nil"/>
              <w:right w:val="nil"/>
            </w:tcBorders>
            <w:vAlign w:val="center"/>
            <w:hideMark/>
          </w:tcPr>
          <w:p w14:paraId="32BD5C05" w14:textId="77777777" w:rsidR="00156DC0" w:rsidRPr="008E1B94" w:rsidRDefault="00156DC0" w:rsidP="002A4C76">
            <w:pPr>
              <w:spacing w:line="240" w:lineRule="auto"/>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punkt uchwytu</w:t>
            </w:r>
          </w:p>
        </w:tc>
        <w:tc>
          <w:tcPr>
            <w:tcW w:w="1420" w:type="dxa"/>
            <w:tcBorders>
              <w:top w:val="nil"/>
              <w:left w:val="nil"/>
              <w:bottom w:val="nil"/>
              <w:right w:val="nil"/>
            </w:tcBorders>
            <w:vAlign w:val="center"/>
            <w:hideMark/>
          </w:tcPr>
          <w:p w14:paraId="257FF28D"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CGRPR</w:t>
            </w:r>
          </w:p>
        </w:tc>
        <w:tc>
          <w:tcPr>
            <w:tcW w:w="1480" w:type="dxa"/>
            <w:tcBorders>
              <w:top w:val="nil"/>
              <w:left w:val="nil"/>
              <w:bottom w:val="nil"/>
              <w:right w:val="nil"/>
            </w:tcBorders>
            <w:vAlign w:val="center"/>
            <w:hideMark/>
          </w:tcPr>
          <w:p w14:paraId="3888D0AF"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CGRP</w:t>
            </w:r>
          </w:p>
        </w:tc>
        <w:tc>
          <w:tcPr>
            <w:tcW w:w="1480" w:type="dxa"/>
            <w:tcBorders>
              <w:top w:val="nil"/>
              <w:left w:val="nil"/>
              <w:bottom w:val="nil"/>
              <w:right w:val="nil"/>
            </w:tcBorders>
            <w:vAlign w:val="center"/>
            <w:hideMark/>
          </w:tcPr>
          <w:p w14:paraId="73BA8BA8"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CGRP</w:t>
            </w:r>
          </w:p>
        </w:tc>
        <w:tc>
          <w:tcPr>
            <w:tcW w:w="1460" w:type="dxa"/>
            <w:tcBorders>
              <w:top w:val="nil"/>
              <w:left w:val="nil"/>
              <w:bottom w:val="nil"/>
              <w:right w:val="nil"/>
            </w:tcBorders>
            <w:vAlign w:val="center"/>
            <w:hideMark/>
          </w:tcPr>
          <w:p w14:paraId="568CB42D"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CGRP</w:t>
            </w:r>
          </w:p>
        </w:tc>
        <w:tc>
          <w:tcPr>
            <w:tcW w:w="1320" w:type="dxa"/>
            <w:tcBorders>
              <w:top w:val="nil"/>
              <w:left w:val="nil"/>
              <w:bottom w:val="nil"/>
              <w:right w:val="nil"/>
            </w:tcBorders>
            <w:vAlign w:val="center"/>
            <w:hideMark/>
          </w:tcPr>
          <w:p w14:paraId="6EE8FDD5"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CGRPR</w:t>
            </w:r>
          </w:p>
        </w:tc>
        <w:tc>
          <w:tcPr>
            <w:tcW w:w="1020" w:type="dxa"/>
            <w:tcBorders>
              <w:top w:val="nil"/>
              <w:left w:val="nil"/>
              <w:bottom w:val="nil"/>
              <w:right w:val="nil"/>
            </w:tcBorders>
            <w:vAlign w:val="center"/>
            <w:hideMark/>
          </w:tcPr>
          <w:p w14:paraId="7B5ECC43"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CGRP</w:t>
            </w:r>
          </w:p>
        </w:tc>
      </w:tr>
      <w:tr w:rsidR="00156DC0" w:rsidRPr="008E1B94" w14:paraId="32A25DBD" w14:textId="77777777" w:rsidTr="002A4C76">
        <w:trPr>
          <w:trHeight w:val="570"/>
        </w:trPr>
        <w:tc>
          <w:tcPr>
            <w:tcW w:w="1320" w:type="dxa"/>
            <w:tcBorders>
              <w:top w:val="nil"/>
              <w:left w:val="nil"/>
              <w:bottom w:val="nil"/>
              <w:right w:val="nil"/>
            </w:tcBorders>
            <w:vAlign w:val="center"/>
            <w:hideMark/>
          </w:tcPr>
          <w:p w14:paraId="69DE8D12" w14:textId="77777777" w:rsidR="00156DC0" w:rsidRPr="008E1B94" w:rsidRDefault="00156DC0" w:rsidP="002A4C76">
            <w:pPr>
              <w:spacing w:line="240" w:lineRule="auto"/>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stosowanie</w:t>
            </w:r>
          </w:p>
        </w:tc>
        <w:tc>
          <w:tcPr>
            <w:tcW w:w="1420" w:type="dxa"/>
            <w:tcBorders>
              <w:top w:val="nil"/>
              <w:left w:val="nil"/>
              <w:bottom w:val="nil"/>
              <w:right w:val="nil"/>
            </w:tcBorders>
            <w:vAlign w:val="center"/>
            <w:hideMark/>
          </w:tcPr>
          <w:p w14:paraId="19D6E3F4"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co miesiąc S.C.</w:t>
            </w:r>
          </w:p>
        </w:tc>
        <w:tc>
          <w:tcPr>
            <w:tcW w:w="1480" w:type="dxa"/>
            <w:tcBorders>
              <w:top w:val="nil"/>
              <w:left w:val="nil"/>
              <w:bottom w:val="nil"/>
              <w:right w:val="nil"/>
            </w:tcBorders>
            <w:vAlign w:val="center"/>
            <w:hideMark/>
          </w:tcPr>
          <w:p w14:paraId="63F3B725" w14:textId="6370D78F"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 xml:space="preserve">co </w:t>
            </w:r>
            <w:r w:rsidR="008E1B94" w:rsidRPr="008E1B94">
              <w:rPr>
                <w:rFonts w:eastAsia="Times New Roman" w:cs="Calibri"/>
                <w:color w:val="000000"/>
                <w:kern w:val="0"/>
                <w:sz w:val="22"/>
                <w:lang w:eastAsia="pl-PL"/>
                <w14:ligatures w14:val="none"/>
              </w:rPr>
              <w:t>miesiąc</w:t>
            </w:r>
            <w:r w:rsidRPr="008E1B94">
              <w:rPr>
                <w:rFonts w:eastAsia="Times New Roman" w:cs="Calibri"/>
                <w:color w:val="000000"/>
                <w:kern w:val="0"/>
                <w:sz w:val="22"/>
                <w:lang w:eastAsia="pl-PL"/>
                <w14:ligatures w14:val="none"/>
              </w:rPr>
              <w:t xml:space="preserve"> albo co trzy </w:t>
            </w:r>
            <w:r w:rsidR="00F67CA0">
              <w:rPr>
                <w:rFonts w:eastAsia="Times New Roman" w:cs="Calibri"/>
                <w:i/>
                <w:iCs/>
                <w:color w:val="000000"/>
                <w:kern w:val="0"/>
                <w:sz w:val="22"/>
                <w:lang w:eastAsia="pl-PL"/>
                <w14:ligatures w14:val="none"/>
              </w:rPr>
              <w:t>s.c.</w:t>
            </w:r>
          </w:p>
        </w:tc>
        <w:tc>
          <w:tcPr>
            <w:tcW w:w="1480" w:type="dxa"/>
            <w:tcBorders>
              <w:top w:val="nil"/>
              <w:left w:val="nil"/>
              <w:bottom w:val="nil"/>
              <w:right w:val="nil"/>
            </w:tcBorders>
            <w:vAlign w:val="center"/>
            <w:hideMark/>
          </w:tcPr>
          <w:p w14:paraId="17C5E66D" w14:textId="4BAFD959"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 xml:space="preserve">co trzy miesiące </w:t>
            </w:r>
            <w:r w:rsidR="00F67CA0">
              <w:rPr>
                <w:rFonts w:eastAsia="Times New Roman" w:cs="Calibri"/>
                <w:i/>
                <w:iCs/>
                <w:color w:val="000000"/>
                <w:kern w:val="0"/>
                <w:sz w:val="22"/>
                <w:lang w:eastAsia="pl-PL"/>
                <w14:ligatures w14:val="none"/>
              </w:rPr>
              <w:t>iv</w:t>
            </w:r>
          </w:p>
        </w:tc>
        <w:tc>
          <w:tcPr>
            <w:tcW w:w="1460" w:type="dxa"/>
            <w:tcBorders>
              <w:top w:val="nil"/>
              <w:left w:val="nil"/>
              <w:bottom w:val="nil"/>
              <w:right w:val="nil"/>
            </w:tcBorders>
            <w:vAlign w:val="center"/>
            <w:hideMark/>
          </w:tcPr>
          <w:p w14:paraId="1E25B13A" w14:textId="28780846"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 xml:space="preserve">co miesiąc </w:t>
            </w:r>
            <w:r w:rsidR="00F67CA0">
              <w:rPr>
                <w:rFonts w:eastAsia="Times New Roman" w:cs="Calibri"/>
                <w:i/>
                <w:iCs/>
                <w:color w:val="000000"/>
                <w:kern w:val="0"/>
                <w:sz w:val="22"/>
                <w:lang w:eastAsia="pl-PL"/>
                <w14:ligatures w14:val="none"/>
              </w:rPr>
              <w:t>s.c.</w:t>
            </w:r>
          </w:p>
        </w:tc>
        <w:tc>
          <w:tcPr>
            <w:tcW w:w="1320" w:type="dxa"/>
            <w:tcBorders>
              <w:top w:val="nil"/>
              <w:left w:val="nil"/>
              <w:bottom w:val="nil"/>
              <w:right w:val="nil"/>
            </w:tcBorders>
            <w:vAlign w:val="center"/>
            <w:hideMark/>
          </w:tcPr>
          <w:p w14:paraId="270CB871"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co dwa dni doustnie</w:t>
            </w:r>
          </w:p>
        </w:tc>
        <w:tc>
          <w:tcPr>
            <w:tcW w:w="1020" w:type="dxa"/>
            <w:tcBorders>
              <w:top w:val="nil"/>
              <w:left w:val="nil"/>
              <w:bottom w:val="nil"/>
              <w:right w:val="nil"/>
            </w:tcBorders>
            <w:vAlign w:val="center"/>
            <w:hideMark/>
          </w:tcPr>
          <w:p w14:paraId="2E0C8DA2"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codziennie doustnie</w:t>
            </w:r>
          </w:p>
        </w:tc>
      </w:tr>
      <w:tr w:rsidR="00156DC0" w:rsidRPr="008E1B94" w14:paraId="02F3FDD4" w14:textId="77777777" w:rsidTr="002A4C76">
        <w:trPr>
          <w:trHeight w:val="1140"/>
        </w:trPr>
        <w:tc>
          <w:tcPr>
            <w:tcW w:w="1320" w:type="dxa"/>
            <w:tcBorders>
              <w:top w:val="nil"/>
              <w:left w:val="nil"/>
              <w:bottom w:val="nil"/>
              <w:right w:val="nil"/>
            </w:tcBorders>
            <w:vAlign w:val="center"/>
            <w:hideMark/>
          </w:tcPr>
          <w:p w14:paraId="19F2E5FE" w14:textId="77777777" w:rsidR="00156DC0" w:rsidRPr="008E1B94" w:rsidRDefault="00156DC0" w:rsidP="002A4C76">
            <w:pPr>
              <w:spacing w:line="240" w:lineRule="auto"/>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dawkowanie</w:t>
            </w:r>
          </w:p>
        </w:tc>
        <w:tc>
          <w:tcPr>
            <w:tcW w:w="1420" w:type="dxa"/>
            <w:tcBorders>
              <w:top w:val="nil"/>
              <w:left w:val="nil"/>
              <w:bottom w:val="nil"/>
              <w:right w:val="nil"/>
            </w:tcBorders>
            <w:vAlign w:val="center"/>
            <w:hideMark/>
          </w:tcPr>
          <w:p w14:paraId="166DFBF2"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70 mg albo 140 mg</w:t>
            </w:r>
          </w:p>
        </w:tc>
        <w:tc>
          <w:tcPr>
            <w:tcW w:w="1480" w:type="dxa"/>
            <w:tcBorders>
              <w:top w:val="nil"/>
              <w:left w:val="nil"/>
              <w:bottom w:val="nil"/>
              <w:right w:val="nil"/>
            </w:tcBorders>
            <w:vAlign w:val="center"/>
            <w:hideMark/>
          </w:tcPr>
          <w:p w14:paraId="14672F02"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225 mg miesięcznie albo 675 mg kwartalnie</w:t>
            </w:r>
          </w:p>
        </w:tc>
        <w:tc>
          <w:tcPr>
            <w:tcW w:w="1480" w:type="dxa"/>
            <w:tcBorders>
              <w:top w:val="nil"/>
              <w:left w:val="nil"/>
              <w:bottom w:val="nil"/>
              <w:right w:val="nil"/>
            </w:tcBorders>
            <w:vAlign w:val="center"/>
            <w:hideMark/>
          </w:tcPr>
          <w:p w14:paraId="55832D20"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100 mg albo 300 mg</w:t>
            </w:r>
          </w:p>
        </w:tc>
        <w:tc>
          <w:tcPr>
            <w:tcW w:w="1460" w:type="dxa"/>
            <w:tcBorders>
              <w:top w:val="nil"/>
              <w:left w:val="nil"/>
              <w:bottom w:val="nil"/>
              <w:right w:val="nil"/>
            </w:tcBorders>
            <w:vAlign w:val="center"/>
            <w:hideMark/>
          </w:tcPr>
          <w:p w14:paraId="246716D1"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dawka nasycająca 240 mg następnie 120 mg</w:t>
            </w:r>
          </w:p>
        </w:tc>
        <w:tc>
          <w:tcPr>
            <w:tcW w:w="1320" w:type="dxa"/>
            <w:tcBorders>
              <w:top w:val="nil"/>
              <w:left w:val="nil"/>
              <w:bottom w:val="nil"/>
              <w:right w:val="nil"/>
            </w:tcBorders>
            <w:vAlign w:val="center"/>
            <w:hideMark/>
          </w:tcPr>
          <w:p w14:paraId="21E322E0"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75 mg</w:t>
            </w:r>
          </w:p>
        </w:tc>
        <w:tc>
          <w:tcPr>
            <w:tcW w:w="1020" w:type="dxa"/>
            <w:tcBorders>
              <w:top w:val="nil"/>
              <w:left w:val="nil"/>
              <w:bottom w:val="nil"/>
              <w:right w:val="nil"/>
            </w:tcBorders>
            <w:vAlign w:val="center"/>
            <w:hideMark/>
          </w:tcPr>
          <w:p w14:paraId="21BDA1C6" w14:textId="77777777" w:rsidR="00156DC0" w:rsidRPr="008E1B94" w:rsidRDefault="00156DC0" w:rsidP="002A4C76">
            <w:pPr>
              <w:spacing w:line="240" w:lineRule="auto"/>
              <w:jc w:val="center"/>
              <w:rPr>
                <w:rFonts w:eastAsia="Times New Roman" w:cs="Calibri"/>
                <w:color w:val="000000"/>
                <w:kern w:val="0"/>
                <w:sz w:val="22"/>
                <w:lang w:eastAsia="pl-PL"/>
                <w14:ligatures w14:val="none"/>
              </w:rPr>
            </w:pPr>
            <w:r w:rsidRPr="008E1B94">
              <w:rPr>
                <w:rFonts w:eastAsia="Times New Roman" w:cs="Calibri"/>
                <w:color w:val="000000"/>
                <w:kern w:val="0"/>
                <w:sz w:val="22"/>
                <w:lang w:eastAsia="pl-PL"/>
                <w14:ligatures w14:val="none"/>
              </w:rPr>
              <w:t>60 mg</w:t>
            </w:r>
          </w:p>
        </w:tc>
      </w:tr>
    </w:tbl>
    <w:p w14:paraId="60D46089" w14:textId="77777777" w:rsidR="00156DC0" w:rsidRDefault="00156DC0" w:rsidP="00F407FB"/>
    <w:p w14:paraId="74BAB54B" w14:textId="1B6197B1" w:rsidR="004239AE" w:rsidRDefault="004239AE" w:rsidP="004239AE">
      <w:pPr>
        <w:pStyle w:val="Standard"/>
      </w:pPr>
    </w:p>
    <w:p w14:paraId="78FF55BA" w14:textId="39CA0378" w:rsidR="004239AE" w:rsidRDefault="004239AE" w:rsidP="004239AE">
      <w:pPr>
        <w:pStyle w:val="Standard"/>
      </w:pPr>
    </w:p>
    <w:p w14:paraId="29AB0C0F" w14:textId="7688C677" w:rsidR="002921F4" w:rsidRPr="002921F4" w:rsidRDefault="002921F4" w:rsidP="002921F4"/>
    <w:p w14:paraId="48EE7BF6" w14:textId="77777777" w:rsidR="006C073E" w:rsidRDefault="006C073E" w:rsidP="006C073E">
      <w:pPr>
        <w:pStyle w:val="Podtytu"/>
        <w:jc w:val="both"/>
        <w:sectPr w:rsidR="006C073E" w:rsidSect="006C073E">
          <w:type w:val="continuous"/>
          <w:pgSz w:w="11906" w:h="16838"/>
          <w:pgMar w:top="1417" w:right="1417" w:bottom="1417" w:left="1417" w:header="708" w:footer="708" w:gutter="0"/>
          <w:pgNumType w:start="0"/>
          <w:cols w:space="708"/>
          <w:titlePg/>
          <w:docGrid w:linePitch="360"/>
        </w:sectPr>
      </w:pPr>
    </w:p>
    <w:p w14:paraId="69A46BB6" w14:textId="3246FFD9" w:rsidR="00DF71F5" w:rsidRDefault="00DF71F5" w:rsidP="006C073E">
      <w:pPr>
        <w:pStyle w:val="Podtytu"/>
        <w:jc w:val="both"/>
      </w:pPr>
      <w:r>
        <w:t>Zastosowanie</w:t>
      </w:r>
    </w:p>
    <w:p w14:paraId="29443736" w14:textId="423F606C" w:rsidR="007A5523" w:rsidRDefault="007A5523" w:rsidP="006C073E">
      <w:pPr>
        <w:jc w:val="both"/>
      </w:pPr>
      <w:r>
        <w:t xml:space="preserve">Wskazania do leczenia zapobiegawczego są następujące: </w:t>
      </w:r>
    </w:p>
    <w:p w14:paraId="0BF2FADC" w14:textId="1BAB02DB" w:rsidR="007A5523" w:rsidRPr="007A5523" w:rsidRDefault="007A5523" w:rsidP="006C073E">
      <w:pPr>
        <w:pStyle w:val="Akapitzlist"/>
        <w:numPr>
          <w:ilvl w:val="0"/>
          <w:numId w:val="2"/>
        </w:numPr>
        <w:jc w:val="both"/>
      </w:pPr>
      <w:r w:rsidRPr="007A5523">
        <w:t>stosowane leki doraźne są nieskuteczne, przeciwwskazane lub powodują poważne działania niepożądane</w:t>
      </w:r>
    </w:p>
    <w:p w14:paraId="038E7FE0" w14:textId="05175993" w:rsidR="007A5523" w:rsidRPr="007A5523" w:rsidRDefault="007A5523" w:rsidP="006C073E">
      <w:pPr>
        <w:pStyle w:val="Akapitzlist"/>
        <w:numPr>
          <w:ilvl w:val="0"/>
          <w:numId w:val="2"/>
        </w:numPr>
        <w:jc w:val="both"/>
      </w:pPr>
      <w:r w:rsidRPr="007A5523">
        <w:t>napady migreny są częste (≥2 w mies.) i powodują niesprawność (poważnie utrudniona zdolność wypełniania obowiązków zawodowych lub szkolnych) trwającą ≥3 dni w miesiącu</w:t>
      </w:r>
    </w:p>
    <w:p w14:paraId="0CCC5F76" w14:textId="3D3EB648" w:rsidR="007A5523" w:rsidRPr="007A5523" w:rsidRDefault="007A5523" w:rsidP="006C073E">
      <w:pPr>
        <w:pStyle w:val="Akapitzlist"/>
        <w:numPr>
          <w:ilvl w:val="0"/>
          <w:numId w:val="2"/>
        </w:numPr>
        <w:jc w:val="both"/>
      </w:pPr>
      <w:r w:rsidRPr="007A5523">
        <w:t>leczenie doraźne stosowane &gt;2 ×/tydz.</w:t>
      </w:r>
    </w:p>
    <w:p w14:paraId="1776F65B" w14:textId="31045730" w:rsidR="007A5523" w:rsidRPr="007A5523" w:rsidRDefault="007A5523" w:rsidP="006C073E">
      <w:pPr>
        <w:pStyle w:val="Akapitzlist"/>
        <w:numPr>
          <w:ilvl w:val="0"/>
          <w:numId w:val="2"/>
        </w:numPr>
        <w:jc w:val="both"/>
      </w:pPr>
      <w:r w:rsidRPr="007A5523">
        <w:t xml:space="preserve">rzadkie postaci migreny, takie jak migrena z aurą inną niż wzrokowa, </w:t>
      </w:r>
      <w:r w:rsidRPr="007A5523">
        <w:t>z przedłużoną aurą lub zawał mózgu spowodowany napadem migreny (udar migrenowy)</w:t>
      </w:r>
    </w:p>
    <w:p w14:paraId="49D5B549" w14:textId="4E3335B9" w:rsidR="007A5523" w:rsidRDefault="007A5523" w:rsidP="006C073E">
      <w:pPr>
        <w:pStyle w:val="Akapitzlist"/>
        <w:numPr>
          <w:ilvl w:val="0"/>
          <w:numId w:val="2"/>
        </w:numPr>
        <w:jc w:val="both"/>
      </w:pPr>
      <w:r w:rsidRPr="007A5523">
        <w:t>chory na migrenę, który przebył udar niedokrwienny, napad przemijającego niedokrwienia mózgu lub zawał serca, cierpi na chorobę niedokrwienną serca lub nadciśnienie tętnicze źle kontrolowane.</w:t>
      </w:r>
    </w:p>
    <w:p w14:paraId="22DF9B8D" w14:textId="77777777" w:rsidR="005330F5" w:rsidRDefault="008E1B94" w:rsidP="006C073E">
      <w:pPr>
        <w:jc w:val="both"/>
      </w:pPr>
      <w:r>
        <w:t xml:space="preserve">Wybór leku profilaktycznego </w:t>
      </w:r>
      <w:r w:rsidRPr="008E1B94">
        <w:t xml:space="preserve">zależy od skuteczności u danego chorego, działań niepożądanych oraz chorób współistniejących. Stosowanie każdego leku należy rozpocząć od małej dawki i stopniowo ją zwiększać, aż do uzyskania efektu terapeutycznego lub osiągnięcia dawki maksymalnej. Próba leczenia danym </w:t>
      </w:r>
      <w:r w:rsidRPr="008E1B94">
        <w:lastRenderedPageBreak/>
        <w:t>lekiem powinna trwać ≥3 mies.; jeżeli okaże się ono skuteczne, przynosząc istotne zmniejszenie częstotliwości napadów, należy je kontynuować ≥6 mies. </w:t>
      </w:r>
    </w:p>
    <w:p w14:paraId="1D21FF91" w14:textId="77777777" w:rsidR="005330F5" w:rsidRDefault="001A63CF" w:rsidP="006C073E">
      <w:pPr>
        <w:ind w:firstLine="708"/>
        <w:jc w:val="both"/>
      </w:pPr>
      <w:r w:rsidRPr="001A63CF">
        <w:t xml:space="preserve">Gepanty zalicza się do leków </w:t>
      </w:r>
      <w:r>
        <w:t>pierwszego</w:t>
      </w:r>
      <w:r w:rsidRPr="001A63CF">
        <w:t xml:space="preserve"> wyboru</w:t>
      </w:r>
      <w:r>
        <w:t xml:space="preserve"> i</w:t>
      </w:r>
      <w:r w:rsidRPr="001A63CF">
        <w:t xml:space="preserve"> można je zastosować bez wcześniejszych prób terapii </w:t>
      </w:r>
      <w:r>
        <w:t>nieswoistymi dla migreny</w:t>
      </w:r>
      <w:r w:rsidRPr="001A63CF">
        <w:t xml:space="preserve"> doustnymi lekami profilaktycznymi.</w:t>
      </w:r>
      <w:r w:rsidR="00660D44" w:rsidRPr="00660D44">
        <w:t xml:space="preserve"> </w:t>
      </w:r>
      <w:r w:rsidR="00660D44">
        <w:t xml:space="preserve">Są </w:t>
      </w:r>
      <w:r w:rsidR="00660D44" w:rsidRPr="00660D44">
        <w:t>wskazan</w:t>
      </w:r>
      <w:r w:rsidR="00660D44">
        <w:t>e</w:t>
      </w:r>
      <w:r w:rsidR="00660D44" w:rsidRPr="00660D44">
        <w:t xml:space="preserve"> do stosowania w profilaktyce migreny u osób dorosłych, u których występują co najmniej 4 dni z migreną w miesiącu.</w:t>
      </w:r>
      <w:r>
        <w:t xml:space="preserve"> W Polsce z gepantów obecnie dostępny jest rimegepant. </w:t>
      </w:r>
      <w:r w:rsidRPr="001A63CF">
        <w:t>Ma podobną do tryptanów skuteczność pod względem działania przeciwbólowego i ograniczenia uciążliwych objawów towarzyszących (nudności, wymiotów, nadwrażliwości na światło, dźwięk, zapach)</w:t>
      </w:r>
      <w:r>
        <w:t xml:space="preserve">. </w:t>
      </w:r>
      <w:r w:rsidR="0031373E">
        <w:t xml:space="preserve">Tryptany stosowane są jedynie w leczeniu doraźnym, wykazują objawy niepożądane, </w:t>
      </w:r>
      <w:r w:rsidR="0031373E" w:rsidRPr="0031373E">
        <w:t>takie jak niepokój, drżenie rąk, uczucie ciężaru w klatce piersiowej, skurcz gardła lub uczucie sztywności karku</w:t>
      </w:r>
      <w:r w:rsidR="0031373E">
        <w:t xml:space="preserve"> i pomimo przemijającego, niezagrażającemu zdrowiu charakteru są nietolerowane przez część pacjentów. Rimegepant nie wykazuje tego rodzaju działań niepożądanych, ponadto nie wywołuje wtórnego bólu głowy z nadużywania, który może pojawić się przy </w:t>
      </w:r>
      <w:r w:rsidR="0031373E">
        <w:t>stosowaniu tryptanów powyżej 10 dni w miesiącu.</w:t>
      </w:r>
      <w:r w:rsidR="008E1B94">
        <w:t xml:space="preserve"> </w:t>
      </w:r>
    </w:p>
    <w:p w14:paraId="6F6C98E1" w14:textId="7765B1F0" w:rsidR="000C1958" w:rsidRDefault="002447EC" w:rsidP="006C073E">
      <w:pPr>
        <w:ind w:firstLine="708"/>
        <w:jc w:val="both"/>
      </w:pPr>
      <w:r>
        <w:t>P</w:t>
      </w:r>
      <w:r w:rsidRPr="002447EC">
        <w:t>rzeciwciała monoklonalne przeciwko CGRP/CGRPR</w:t>
      </w:r>
      <w:r>
        <w:t xml:space="preserve"> również </w:t>
      </w:r>
      <w:r w:rsidRPr="001A63CF">
        <w:t xml:space="preserve">zalicza się do leków </w:t>
      </w:r>
      <w:r>
        <w:t>pierwszego</w:t>
      </w:r>
      <w:r w:rsidRPr="001A63CF">
        <w:t xml:space="preserve"> wyboru</w:t>
      </w:r>
      <w:r w:rsidR="008E1B94">
        <w:t xml:space="preserve">. </w:t>
      </w:r>
      <w:r w:rsidR="008E1B94" w:rsidRPr="008E1B94">
        <w:t>Wyróżniają się bardzo dużym bezpieczeństwem stosowania i bardzo dobrą tolerancją, praktycznie nie powodują istotnych skutków niepożądanych</w:t>
      </w:r>
      <w:r w:rsidR="008E1B94">
        <w:t xml:space="preserve">. Posiadają wygodny, łatwy do przestrzegania przez pacjenta schemat dawkowania. </w:t>
      </w:r>
      <w:r w:rsidR="008E1B94" w:rsidRPr="008E1B94">
        <w:t>Są równie skuteczne w migrenie z nadużywaniem, jak i bez nadużywania leków.</w:t>
      </w:r>
      <w:r w:rsidR="008E1B94">
        <w:t xml:space="preserve"> Erenumab, fremanezumab </w:t>
      </w:r>
      <w:r w:rsidR="00490BA7">
        <w:t>i e</w:t>
      </w:r>
      <w:r w:rsidR="008E1B94">
        <w:t xml:space="preserve">ptizumab </w:t>
      </w:r>
      <w:r w:rsidR="00490BA7">
        <w:t xml:space="preserve">mogą być refundowane w programie lekowym B.133 – Profilaktyczne leczenie chorych na migrenę przewlekłą, jako druga linia leczenia. Kryteria kwalifikacji do leczenia obejmują między innymi: </w:t>
      </w:r>
      <w:r w:rsidR="00490BA7" w:rsidRPr="00490BA7">
        <w:t>15 dni z bólem głowy w miesiącu przez co najmniej 3 kolejne miesiące, z których co najmniej 8 spełnia kryteria rozpoznania migreny</w:t>
      </w:r>
      <w:r w:rsidR="00490BA7">
        <w:t xml:space="preserve"> wg ICHD, dwie udokumentowane próby leczenia profilaktycznego topiramatem, kwasem walproinowym lub amitryptyliną oraz brak odpowiedzi na trzy podania botulinotoksyny (Gajewski i in., 2025; Puledda i in., 2024;</w:t>
      </w:r>
      <w:r w:rsidR="009D1EF6">
        <w:t xml:space="preserve"> obwieszczenie MZ, 2026</w:t>
      </w:r>
      <w:r w:rsidR="00490BA7">
        <w:t>).</w:t>
      </w:r>
    </w:p>
    <w:p w14:paraId="00165953" w14:textId="77777777" w:rsidR="006C073E" w:rsidRDefault="006C073E" w:rsidP="000C1958">
      <w:pPr>
        <w:pStyle w:val="Podtytu"/>
        <w:sectPr w:rsidR="006C073E" w:rsidSect="006C073E">
          <w:type w:val="continuous"/>
          <w:pgSz w:w="11906" w:h="16838"/>
          <w:pgMar w:top="1417" w:right="1417" w:bottom="1417" w:left="1417" w:header="708" w:footer="708" w:gutter="0"/>
          <w:pgNumType w:start="0"/>
          <w:cols w:num="2" w:space="708"/>
          <w:titlePg/>
          <w:docGrid w:linePitch="360"/>
        </w:sectPr>
      </w:pPr>
    </w:p>
    <w:p w14:paraId="1AFF8A65" w14:textId="77777777" w:rsidR="006C073E" w:rsidRDefault="006C073E" w:rsidP="000C1958">
      <w:pPr>
        <w:pStyle w:val="Podtytu"/>
      </w:pPr>
    </w:p>
    <w:p w14:paraId="6987DFB4" w14:textId="310153FB" w:rsidR="00536B2D" w:rsidRDefault="000C1958" w:rsidP="000C1958">
      <w:pPr>
        <w:pStyle w:val="Podtytu"/>
      </w:pPr>
      <w:r>
        <w:t>Bibliografia</w:t>
      </w:r>
    </w:p>
    <w:p w14:paraId="1E58D578" w14:textId="09924280" w:rsidR="000C1958" w:rsidRDefault="000C1958" w:rsidP="000E677B">
      <w:pPr>
        <w:pStyle w:val="Akapitzlist"/>
        <w:numPr>
          <w:ilvl w:val="0"/>
          <w:numId w:val="1"/>
        </w:numPr>
      </w:pPr>
      <w:r>
        <w:t>Burch R, Rizzoli P, Loder E (2018). The prevalence and impact of migraine and severe headache in the United States: figures and trends from Government Health Studies. Headache 58: 496–505.</w:t>
      </w:r>
    </w:p>
    <w:p w14:paraId="7399A8C3" w14:textId="3F965FF0" w:rsidR="000E677B" w:rsidRDefault="000E677B" w:rsidP="000E677B">
      <w:pPr>
        <w:pStyle w:val="Akapitzlist"/>
        <w:numPr>
          <w:ilvl w:val="0"/>
          <w:numId w:val="1"/>
        </w:numPr>
      </w:pPr>
      <w:r>
        <w:t>Woldeamanuel YW, Cowan RP. (2017). Migraine affects 1 in 10 people worldwide featuring recent rise: A systematic review and meta-analysis of community-based studies involving 6 million participants. Journal of the Neurological Sciences 372: 307–315</w:t>
      </w:r>
    </w:p>
    <w:p w14:paraId="64D24657" w14:textId="6243B1D4" w:rsidR="000E677B" w:rsidRDefault="0098084E" w:rsidP="000C1958">
      <w:pPr>
        <w:pStyle w:val="Akapitzlist"/>
        <w:numPr>
          <w:ilvl w:val="0"/>
          <w:numId w:val="1"/>
        </w:numPr>
      </w:pPr>
      <w:r w:rsidRPr="0098084E">
        <w:t>Headache Classification Committee of the International Headache Society. The international classification of headache disorders, 3rd edition</w:t>
      </w:r>
      <w:r>
        <w:t xml:space="preserve"> (</w:t>
      </w:r>
      <w:r w:rsidRPr="0098084E">
        <w:t>2013</w:t>
      </w:r>
      <w:r>
        <w:t>)</w:t>
      </w:r>
      <w:r w:rsidRPr="0098084E">
        <w:t>. Cephalalgia 33: 629–808</w:t>
      </w:r>
    </w:p>
    <w:p w14:paraId="4DF8A9F3" w14:textId="0CAC3E79" w:rsidR="000D3EDF" w:rsidRPr="00D232D5" w:rsidRDefault="000D3EDF" w:rsidP="000D3EDF">
      <w:pPr>
        <w:pStyle w:val="Akapitzlist"/>
        <w:numPr>
          <w:ilvl w:val="0"/>
          <w:numId w:val="1"/>
        </w:numPr>
      </w:pPr>
      <w:r>
        <w:lastRenderedPageBreak/>
        <w:t xml:space="preserve">Rekomendacja nr 22/2025 z dnia 26 lutego 2025 r. Prezesa Agencji Oceny Technologii Medycznych i Taryfikacji w sprawie oceny leku Vyepti (eptinezumab) w ramach programu lekowego B.133 „Profilaktyczne leczenie chorych na migrenę przewlekłą (ICD- 10: G43), </w:t>
      </w:r>
      <w:r w:rsidRPr="000D3EDF">
        <w:rPr>
          <w:i/>
          <w:iCs/>
        </w:rPr>
        <w:t>bip.aotm.gov.pl</w:t>
      </w:r>
    </w:p>
    <w:p w14:paraId="0815BD1F" w14:textId="55D6B801" w:rsidR="00D232D5" w:rsidRDefault="00D232D5" w:rsidP="00D232D5">
      <w:pPr>
        <w:pStyle w:val="Akapitzlist"/>
        <w:numPr>
          <w:ilvl w:val="0"/>
          <w:numId w:val="1"/>
        </w:numPr>
      </w:pPr>
      <w:r>
        <w:t>Natoli JL, Manack A, Dean B, Butler Q, Turkel CC, Stovner L, Lipton RB. (2010). Global prevalence of chronic migraine: a systematic review. Cephalalgia 30(5): 599–609</w:t>
      </w:r>
    </w:p>
    <w:p w14:paraId="323FCDD9" w14:textId="5A09F55D" w:rsidR="00862234" w:rsidRDefault="00862234" w:rsidP="00862234">
      <w:pPr>
        <w:pStyle w:val="Akapitzlist"/>
        <w:numPr>
          <w:ilvl w:val="0"/>
          <w:numId w:val="1"/>
        </w:numPr>
      </w:pPr>
      <w:r>
        <w:t>Edvinsson L, Warfvinge K. (2019). Recognizing the role of CGRP and CGRP receptors in migraine and its treatment. Cephalalgia 39: 366–373</w:t>
      </w:r>
    </w:p>
    <w:p w14:paraId="53E23C3C" w14:textId="5C352F66" w:rsidR="004E7AB7" w:rsidRDefault="004E7AB7" w:rsidP="00862234">
      <w:pPr>
        <w:pStyle w:val="Akapitzlist"/>
        <w:numPr>
          <w:ilvl w:val="0"/>
          <w:numId w:val="1"/>
        </w:numPr>
      </w:pPr>
      <w:r w:rsidRPr="004E7AB7">
        <w:t>Woroń J. Receptor CGRP i jego rola w farmakoterapii migreny</w:t>
      </w:r>
      <w:r>
        <w:t xml:space="preserve"> (</w:t>
      </w:r>
      <w:r w:rsidRPr="004E7AB7">
        <w:t>2020</w:t>
      </w:r>
      <w:r>
        <w:t>)</w:t>
      </w:r>
      <w:r w:rsidRPr="004E7AB7">
        <w:t>. B</w:t>
      </w:r>
      <w:r>
        <w:t>Ó</w:t>
      </w:r>
      <w:r w:rsidRPr="004E7AB7">
        <w:t>L; 21(3): 44–47</w:t>
      </w:r>
    </w:p>
    <w:p w14:paraId="261B5DB1" w14:textId="1D855F1B" w:rsidR="00F55622" w:rsidRDefault="00F55622" w:rsidP="00862234">
      <w:pPr>
        <w:pStyle w:val="Akapitzlist"/>
        <w:numPr>
          <w:ilvl w:val="0"/>
          <w:numId w:val="1"/>
        </w:numPr>
      </w:pPr>
      <w:r w:rsidRPr="00F55622">
        <w:t>Lerner DJ, Amick BC III, Malspeis S, Rogers WH, Santanello NC, Gerth, Lipon RB</w:t>
      </w:r>
      <w:r>
        <w:t xml:space="preserve"> (</w:t>
      </w:r>
      <w:r w:rsidRPr="00F55622">
        <w:t>1999</w:t>
      </w:r>
      <w:r>
        <w:t>)</w:t>
      </w:r>
      <w:r w:rsidRPr="00F55622">
        <w:t>. The migraine work and productivity loss questionnaire: concepts and design. Quality of Life Research;</w:t>
      </w:r>
      <w:r>
        <w:t xml:space="preserve"> </w:t>
      </w:r>
      <w:r w:rsidRPr="00F55622">
        <w:t>8(8):699–710</w:t>
      </w:r>
    </w:p>
    <w:p w14:paraId="5EAA4A25" w14:textId="6074B50C" w:rsidR="00E430FB" w:rsidRDefault="00E430FB" w:rsidP="00862234">
      <w:pPr>
        <w:pStyle w:val="Akapitzlist"/>
        <w:numPr>
          <w:ilvl w:val="0"/>
          <w:numId w:val="1"/>
        </w:numPr>
      </w:pPr>
      <w:r w:rsidRPr="00E430FB">
        <w:t>Rogante E, Sarubbi S, Lamis DA, Canzonetta V, Sparagna A, De Angelis V, Erbuto D, Martelletti P, Pompili M.</w:t>
      </w:r>
      <w:r>
        <w:t xml:space="preserve"> (</w:t>
      </w:r>
      <w:r w:rsidRPr="00E430FB">
        <w:t>2019</w:t>
      </w:r>
      <w:r>
        <w:t>)</w:t>
      </w:r>
      <w:r w:rsidRPr="00E430FB">
        <w:t xml:space="preserve"> Illness Perception and Job Satisfaction in Patients Suffering from Migraine Headaches: Trait Anxiety and Depressive Symptoms as Potential Mediators. Headache;</w:t>
      </w:r>
      <w:r>
        <w:t xml:space="preserve"> </w:t>
      </w:r>
      <w:r w:rsidRPr="00E430FB">
        <w:t>59(1):46–55</w:t>
      </w:r>
    </w:p>
    <w:p w14:paraId="5F12873C" w14:textId="5094084C" w:rsidR="0053435D" w:rsidRDefault="0053435D" w:rsidP="0053435D">
      <w:pPr>
        <w:pStyle w:val="Akapitzlist"/>
        <w:numPr>
          <w:ilvl w:val="0"/>
          <w:numId w:val="1"/>
        </w:numPr>
      </w:pPr>
      <w:r>
        <w:t>Czerw A. red. Społeczne znaczenie migreny z perspektywy publicznego systemu ochrony zdrowia. Zakład Analiz Ekonomicznych i Systemowych, Narodowy Instytut Zdrowia Publicznego – Państwowy Zakład Higieny. Warszawa 2019</w:t>
      </w:r>
    </w:p>
    <w:p w14:paraId="106D925C" w14:textId="1DABA60F" w:rsidR="0053435D" w:rsidRDefault="0053435D" w:rsidP="0053435D">
      <w:pPr>
        <w:pStyle w:val="Akapitzlist"/>
        <w:numPr>
          <w:ilvl w:val="0"/>
          <w:numId w:val="1"/>
        </w:numPr>
      </w:pPr>
      <w:r>
        <w:t>Gajewski P, Jaeschke R. red, Interna Szczeklika 202</w:t>
      </w:r>
      <w:r w:rsidR="00D62694">
        <w:t>5</w:t>
      </w:r>
      <w:r>
        <w:t>/2</w:t>
      </w:r>
      <w:r w:rsidR="00D62694">
        <w:t>6</w:t>
      </w:r>
      <w:r>
        <w:t>. Mały podręcznik. Medycyna Praktyczna. Kraków 202</w:t>
      </w:r>
      <w:r w:rsidR="00D62694">
        <w:t>5</w:t>
      </w:r>
    </w:p>
    <w:p w14:paraId="0D22F069" w14:textId="43A12521" w:rsidR="0053435D" w:rsidRDefault="00314B50" w:rsidP="00314B50">
      <w:pPr>
        <w:pStyle w:val="Akapitzlist"/>
        <w:numPr>
          <w:ilvl w:val="0"/>
          <w:numId w:val="1"/>
        </w:numPr>
      </w:pPr>
      <w:r>
        <w:t>Raffaelli B., Reuter U. (2018). The Biology of Monoclonal Antibodies: Focus on Calcitonin Gene-Related Peptide for Prophylactic Migraine Therapy. Neurotherapeutics; 15(2): 324–335.</w:t>
      </w:r>
    </w:p>
    <w:p w14:paraId="6D96BB3E" w14:textId="4CC2437C" w:rsidR="009D535D" w:rsidRDefault="009D535D" w:rsidP="00314B50">
      <w:pPr>
        <w:pStyle w:val="Akapitzlist"/>
        <w:numPr>
          <w:ilvl w:val="0"/>
          <w:numId w:val="1"/>
        </w:numPr>
      </w:pPr>
      <w:r w:rsidRPr="009D535D">
        <w:t>Iyengar, S., Johnson, K.W., Ossipov, M.H. and Aurora, S.K. (2019)</w:t>
      </w:r>
      <w:r w:rsidR="00F34AEB">
        <w:t>.</w:t>
      </w:r>
      <w:r w:rsidRPr="009D535D">
        <w:t xml:space="preserve"> CGRP and the Trigeminal System in Migraine. Headache: The Journal of Head and Face Pain, 59: 659-681</w:t>
      </w:r>
    </w:p>
    <w:p w14:paraId="7C49F744" w14:textId="2209C866" w:rsidR="007B20DD" w:rsidRDefault="007B20DD" w:rsidP="007B20DD">
      <w:pPr>
        <w:pStyle w:val="Akapitzlist"/>
        <w:numPr>
          <w:ilvl w:val="0"/>
          <w:numId w:val="1"/>
        </w:numPr>
      </w:pPr>
      <w:r>
        <w:t>Walker CS, Eftekhari S, Bower RL et al. (2015). A second trigeminal CGRP receptor: function and expression of the AMY1 receptor. Ann Clin Transl Neurol. 2 (6): 595–608.</w:t>
      </w:r>
    </w:p>
    <w:p w14:paraId="1E9706B1" w14:textId="016B8536" w:rsidR="00995C94" w:rsidRDefault="00995C94" w:rsidP="00995C94">
      <w:pPr>
        <w:pStyle w:val="Akapitzlist"/>
        <w:numPr>
          <w:ilvl w:val="0"/>
          <w:numId w:val="1"/>
        </w:numPr>
      </w:pPr>
      <w:r>
        <w:t>Russell FA, King R, Smillie SJ et al. (2014). Calcitonin generelated peptide: physiology and pathophysiology. Physiol Rev 94: 1099–1142.</w:t>
      </w:r>
    </w:p>
    <w:p w14:paraId="4003FFEE" w14:textId="488FAF47" w:rsidR="00E113B8" w:rsidRDefault="00E113B8" w:rsidP="00995C94">
      <w:pPr>
        <w:pStyle w:val="Akapitzlist"/>
        <w:numPr>
          <w:ilvl w:val="0"/>
          <w:numId w:val="1"/>
        </w:numPr>
      </w:pPr>
      <w:r w:rsidRPr="00E113B8">
        <w:t>Hay, D. L., Garelja, M. L., Poyner, D. R., &amp; Walker, C. S. (2018). Update on the pharmacology of calcitonin/CGRP family of peptides: IUPHAR Review 25. </w:t>
      </w:r>
      <w:r w:rsidRPr="00E113B8">
        <w:rPr>
          <w:i/>
          <w:iCs/>
        </w:rPr>
        <w:t>British journal of pharmacology</w:t>
      </w:r>
      <w:r w:rsidRPr="00E113B8">
        <w:t>, </w:t>
      </w:r>
      <w:r w:rsidRPr="00E113B8">
        <w:rPr>
          <w:i/>
          <w:iCs/>
        </w:rPr>
        <w:t>175</w:t>
      </w:r>
      <w:r w:rsidRPr="00E113B8">
        <w:t>(1), 3–17.</w:t>
      </w:r>
    </w:p>
    <w:p w14:paraId="4ABF2873" w14:textId="3F357766" w:rsidR="002921F4" w:rsidRDefault="002921F4" w:rsidP="002921F4">
      <w:pPr>
        <w:pStyle w:val="Akapitzlist"/>
        <w:numPr>
          <w:ilvl w:val="0"/>
          <w:numId w:val="1"/>
        </w:numPr>
      </w:pPr>
      <w:r>
        <w:t>Ceriani CEJ, Wilhour DA, Silberstein SD (2019). Novel medications for the treatment of migraine. Headache 59: 1597–1608.</w:t>
      </w:r>
    </w:p>
    <w:p w14:paraId="7F90FF12" w14:textId="3001AC17" w:rsidR="00D62694" w:rsidRPr="00D62694" w:rsidRDefault="00D62694" w:rsidP="00995C94">
      <w:pPr>
        <w:pStyle w:val="Akapitzlist"/>
        <w:numPr>
          <w:ilvl w:val="0"/>
          <w:numId w:val="1"/>
        </w:numPr>
      </w:pPr>
      <w:r w:rsidRPr="00D62694">
        <w:t xml:space="preserve">https://ec.europa.eu/health/documents/community-register/2022/20220425155292/anx_155292_pl.pdf </w:t>
      </w:r>
      <w:r w:rsidRPr="00D62694">
        <w:rPr>
          <w:i/>
          <w:iCs/>
        </w:rPr>
        <w:t>dostęp 25.05.2026</w:t>
      </w:r>
    </w:p>
    <w:p w14:paraId="68188B1D" w14:textId="0ACB58E8" w:rsidR="00F34AEB" w:rsidRPr="00F407FB" w:rsidRDefault="00F407FB" w:rsidP="00F34AEB">
      <w:pPr>
        <w:pStyle w:val="Akapitzlist"/>
        <w:numPr>
          <w:ilvl w:val="0"/>
          <w:numId w:val="1"/>
        </w:numPr>
      </w:pPr>
      <w:r w:rsidRPr="00F407FB">
        <w:t xml:space="preserve">https://www.abbvie.pl/content/dam/abbvie-com2/pl/documents/AQUIPTA-Charakterystyka-Produktu-Leczniczego-08Maj2025.pdf </w:t>
      </w:r>
      <w:r w:rsidRPr="00F407FB">
        <w:rPr>
          <w:i/>
          <w:iCs/>
        </w:rPr>
        <w:t>dostęp 25.05.2026</w:t>
      </w:r>
      <w:r>
        <w:t xml:space="preserve"> </w:t>
      </w:r>
      <w:r w:rsidRPr="00D62694">
        <w:rPr>
          <w:i/>
          <w:iCs/>
        </w:rPr>
        <w:t>dostęp 25.05.2026</w:t>
      </w:r>
    </w:p>
    <w:p w14:paraId="39243092" w14:textId="190C4DD7" w:rsidR="00F407FB" w:rsidRDefault="00F407FB" w:rsidP="00F34AEB">
      <w:pPr>
        <w:pStyle w:val="Akapitzlist"/>
        <w:numPr>
          <w:ilvl w:val="0"/>
          <w:numId w:val="1"/>
        </w:numPr>
      </w:pPr>
      <w:r w:rsidRPr="00F407FB">
        <w:t>https://www.novartis.com/pl-pl/sites/novartis_pl/files/Aimovig_ChPL.pdf</w:t>
      </w:r>
      <w:r>
        <w:t xml:space="preserve"> </w:t>
      </w:r>
      <w:r w:rsidRPr="00D62694">
        <w:rPr>
          <w:i/>
          <w:iCs/>
        </w:rPr>
        <w:t>dostęp 25.05.2026</w:t>
      </w:r>
    </w:p>
    <w:p w14:paraId="2506552B" w14:textId="1DF6B204" w:rsidR="00F407FB" w:rsidRDefault="00F407FB" w:rsidP="00F34AEB">
      <w:pPr>
        <w:pStyle w:val="Akapitzlist"/>
        <w:numPr>
          <w:ilvl w:val="0"/>
          <w:numId w:val="1"/>
        </w:numPr>
      </w:pPr>
      <w:r w:rsidRPr="00F407FB">
        <w:lastRenderedPageBreak/>
        <w:t>https://ec.europa.eu/health/documents/community-register/2021/20211213153711/anx_153711_pl.pdf</w:t>
      </w:r>
      <w:r>
        <w:t xml:space="preserve"> </w:t>
      </w:r>
      <w:r w:rsidRPr="00D62694">
        <w:rPr>
          <w:i/>
          <w:iCs/>
        </w:rPr>
        <w:t>dostęp 25.05.2026</w:t>
      </w:r>
    </w:p>
    <w:p w14:paraId="0F06D858" w14:textId="58CAE6C8" w:rsidR="00F407FB" w:rsidRDefault="00F407FB" w:rsidP="00F34AEB">
      <w:pPr>
        <w:pStyle w:val="Akapitzlist"/>
        <w:numPr>
          <w:ilvl w:val="0"/>
          <w:numId w:val="1"/>
        </w:numPr>
      </w:pPr>
      <w:r w:rsidRPr="00F407FB">
        <w:t>https://www.lundbeck.com/content/dam/lundbeck-com/europe/poland/pdfs/Vyepti%20ChPL%20PRO.pdf</w:t>
      </w:r>
      <w:r>
        <w:t xml:space="preserve"> </w:t>
      </w:r>
      <w:r w:rsidRPr="00D62694">
        <w:rPr>
          <w:i/>
          <w:iCs/>
        </w:rPr>
        <w:t>dostęp 25.05.2026</w:t>
      </w:r>
    </w:p>
    <w:p w14:paraId="3CB3F02D" w14:textId="017D7BFA" w:rsidR="00F407FB" w:rsidRPr="00F34AEB" w:rsidRDefault="00F407FB" w:rsidP="00F34AEB">
      <w:pPr>
        <w:pStyle w:val="Akapitzlist"/>
        <w:numPr>
          <w:ilvl w:val="0"/>
          <w:numId w:val="1"/>
        </w:numPr>
      </w:pPr>
      <w:r w:rsidRPr="00F407FB">
        <w:t>https://ec.europa.eu/health/documents/community-register/2018/20181114142679/anx_142679_pl.pdf</w:t>
      </w:r>
      <w:r>
        <w:t xml:space="preserve"> </w:t>
      </w:r>
      <w:r w:rsidRPr="00D62694">
        <w:rPr>
          <w:i/>
          <w:iCs/>
        </w:rPr>
        <w:t>dostęp 25.05.2026</w:t>
      </w:r>
    </w:p>
    <w:p w14:paraId="109DBF2A" w14:textId="53A3BD31" w:rsidR="00F34AEB" w:rsidRDefault="00F34AEB" w:rsidP="00F34AEB">
      <w:pPr>
        <w:pStyle w:val="Akapitzlist"/>
        <w:numPr>
          <w:ilvl w:val="0"/>
          <w:numId w:val="1"/>
        </w:numPr>
      </w:pPr>
      <w:r>
        <w:t xml:space="preserve">Puledda F, Sacco S, Diener H-C, et al. (2024). International Headache Society Global Practice Recommendations for Preventive Pharmacological Treatment of Migraine. </w:t>
      </w:r>
      <w:r w:rsidRPr="00F34AEB">
        <w:rPr>
          <w:i/>
          <w:iCs/>
        </w:rPr>
        <w:t>Cephalalgia</w:t>
      </w:r>
      <w:r>
        <w:rPr>
          <w:i/>
          <w:iCs/>
        </w:rPr>
        <w:t xml:space="preserve">: </w:t>
      </w:r>
      <w:r>
        <w:t xml:space="preserve">44(9). </w:t>
      </w:r>
    </w:p>
    <w:p w14:paraId="3578C270" w14:textId="380EFE85" w:rsidR="009D1EF6" w:rsidRDefault="009D1EF6" w:rsidP="009D1EF6">
      <w:pPr>
        <w:pStyle w:val="Akapitzlist"/>
        <w:numPr>
          <w:ilvl w:val="0"/>
          <w:numId w:val="1"/>
        </w:numPr>
      </w:pPr>
      <w:r w:rsidRPr="009D1EF6">
        <w:t>https://www.gov.pl/web/zdrowie/obwieszczenie-ministra-zdrowia-z-dnia-17-marca-2026-r-w-sprawie-wykazu-refundowanych-lekow-srodkow-spozywczych-specjalnego-przeznaczenia-zywieniowego-oraz-wyrobow-medycznych-na-1-kwietnia-2026-r</w:t>
      </w:r>
      <w:r>
        <w:t xml:space="preserve"> </w:t>
      </w:r>
      <w:r w:rsidRPr="00D62694">
        <w:rPr>
          <w:i/>
          <w:iCs/>
        </w:rPr>
        <w:t xml:space="preserve">dostęp </w:t>
      </w:r>
      <w:r>
        <w:rPr>
          <w:i/>
          <w:iCs/>
        </w:rPr>
        <w:t>30</w:t>
      </w:r>
      <w:r w:rsidRPr="00D62694">
        <w:rPr>
          <w:i/>
          <w:iCs/>
        </w:rPr>
        <w:t>.05.2026</w:t>
      </w:r>
    </w:p>
    <w:p w14:paraId="08E386DA" w14:textId="74C8122F" w:rsidR="00F34AEB" w:rsidRPr="000C1958" w:rsidRDefault="00F34AEB" w:rsidP="009D1EF6">
      <w:pPr>
        <w:pStyle w:val="Akapitzlist"/>
      </w:pPr>
    </w:p>
    <w:sectPr w:rsidR="00F34AEB" w:rsidRPr="000C1958" w:rsidSect="006C073E">
      <w:type w:val="continuous"/>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B7BC2" w14:textId="77777777" w:rsidR="00CE5CB0" w:rsidRDefault="00CE5CB0" w:rsidP="00640EAA">
      <w:pPr>
        <w:spacing w:line="240" w:lineRule="auto"/>
      </w:pPr>
      <w:r>
        <w:separator/>
      </w:r>
    </w:p>
  </w:endnote>
  <w:endnote w:type="continuationSeparator" w:id="0">
    <w:p w14:paraId="4977F76C" w14:textId="77777777" w:rsidR="00CE5CB0" w:rsidRDefault="00CE5CB0" w:rsidP="00640E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DB440" w14:textId="77777777" w:rsidR="00CE5CB0" w:rsidRDefault="00CE5CB0" w:rsidP="00640EAA">
      <w:pPr>
        <w:spacing w:line="240" w:lineRule="auto"/>
      </w:pPr>
      <w:r>
        <w:separator/>
      </w:r>
    </w:p>
  </w:footnote>
  <w:footnote w:type="continuationSeparator" w:id="0">
    <w:p w14:paraId="4AB60EAB" w14:textId="77777777" w:rsidR="00CE5CB0" w:rsidRDefault="00CE5CB0" w:rsidP="00640EA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96056"/>
    <w:multiLevelType w:val="hybridMultilevel"/>
    <w:tmpl w:val="FF4E13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F7210F9"/>
    <w:multiLevelType w:val="hybridMultilevel"/>
    <w:tmpl w:val="1FE044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FC43C41"/>
    <w:multiLevelType w:val="hybridMultilevel"/>
    <w:tmpl w:val="F0B86A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62091233">
    <w:abstractNumId w:val="2"/>
  </w:num>
  <w:num w:numId="2" w16cid:durableId="1445921299">
    <w:abstractNumId w:val="0"/>
  </w:num>
  <w:num w:numId="3" w16cid:durableId="1789085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ED0"/>
    <w:rsid w:val="000529AB"/>
    <w:rsid w:val="000C1958"/>
    <w:rsid w:val="000D2ADB"/>
    <w:rsid w:val="000D3EDF"/>
    <w:rsid w:val="000E0E62"/>
    <w:rsid w:val="000E677B"/>
    <w:rsid w:val="00113219"/>
    <w:rsid w:val="001402EC"/>
    <w:rsid w:val="00147C7E"/>
    <w:rsid w:val="00156DC0"/>
    <w:rsid w:val="00182727"/>
    <w:rsid w:val="00185D87"/>
    <w:rsid w:val="0019295A"/>
    <w:rsid w:val="001A63CF"/>
    <w:rsid w:val="002447EC"/>
    <w:rsid w:val="002823D9"/>
    <w:rsid w:val="002921F4"/>
    <w:rsid w:val="002D5B44"/>
    <w:rsid w:val="002D5EA1"/>
    <w:rsid w:val="0031373E"/>
    <w:rsid w:val="00314B50"/>
    <w:rsid w:val="0036241A"/>
    <w:rsid w:val="00372968"/>
    <w:rsid w:val="004213D6"/>
    <w:rsid w:val="004239AE"/>
    <w:rsid w:val="00456D1A"/>
    <w:rsid w:val="00490BA7"/>
    <w:rsid w:val="004B308E"/>
    <w:rsid w:val="004D6A3E"/>
    <w:rsid w:val="004E7AB7"/>
    <w:rsid w:val="005150B5"/>
    <w:rsid w:val="005330F5"/>
    <w:rsid w:val="0053435D"/>
    <w:rsid w:val="00536B2D"/>
    <w:rsid w:val="00554E41"/>
    <w:rsid w:val="005B47D5"/>
    <w:rsid w:val="005D5F99"/>
    <w:rsid w:val="00630581"/>
    <w:rsid w:val="00630B43"/>
    <w:rsid w:val="00640EAA"/>
    <w:rsid w:val="00660D44"/>
    <w:rsid w:val="0067081B"/>
    <w:rsid w:val="006C073E"/>
    <w:rsid w:val="006F0ED0"/>
    <w:rsid w:val="007206E2"/>
    <w:rsid w:val="007516EE"/>
    <w:rsid w:val="00757646"/>
    <w:rsid w:val="007A04C3"/>
    <w:rsid w:val="007A5523"/>
    <w:rsid w:val="007B20DD"/>
    <w:rsid w:val="007B5E47"/>
    <w:rsid w:val="007C7BCF"/>
    <w:rsid w:val="007D4136"/>
    <w:rsid w:val="007E3D39"/>
    <w:rsid w:val="00816311"/>
    <w:rsid w:val="00821DB0"/>
    <w:rsid w:val="00854B53"/>
    <w:rsid w:val="008608FA"/>
    <w:rsid w:val="00862234"/>
    <w:rsid w:val="00862F08"/>
    <w:rsid w:val="008963B8"/>
    <w:rsid w:val="008B0E2D"/>
    <w:rsid w:val="008E0CCB"/>
    <w:rsid w:val="008E1B94"/>
    <w:rsid w:val="00911B8E"/>
    <w:rsid w:val="0098084E"/>
    <w:rsid w:val="00995C94"/>
    <w:rsid w:val="009D1EF6"/>
    <w:rsid w:val="009D535D"/>
    <w:rsid w:val="009E2B43"/>
    <w:rsid w:val="009E6D35"/>
    <w:rsid w:val="00AC33E0"/>
    <w:rsid w:val="00B120C4"/>
    <w:rsid w:val="00B1705D"/>
    <w:rsid w:val="00BA6A66"/>
    <w:rsid w:val="00BD2C37"/>
    <w:rsid w:val="00C02106"/>
    <w:rsid w:val="00C0590E"/>
    <w:rsid w:val="00C0699F"/>
    <w:rsid w:val="00C15116"/>
    <w:rsid w:val="00C25D13"/>
    <w:rsid w:val="00C77B63"/>
    <w:rsid w:val="00CE5CB0"/>
    <w:rsid w:val="00D232D5"/>
    <w:rsid w:val="00D3721C"/>
    <w:rsid w:val="00D46720"/>
    <w:rsid w:val="00D51DC9"/>
    <w:rsid w:val="00D62694"/>
    <w:rsid w:val="00DB681F"/>
    <w:rsid w:val="00DD3D5B"/>
    <w:rsid w:val="00DE5412"/>
    <w:rsid w:val="00DE6D53"/>
    <w:rsid w:val="00DF71F5"/>
    <w:rsid w:val="00E113B8"/>
    <w:rsid w:val="00E430FB"/>
    <w:rsid w:val="00E853E3"/>
    <w:rsid w:val="00E86126"/>
    <w:rsid w:val="00EA5DA3"/>
    <w:rsid w:val="00EB49A2"/>
    <w:rsid w:val="00EF65FA"/>
    <w:rsid w:val="00F343D6"/>
    <w:rsid w:val="00F34AEB"/>
    <w:rsid w:val="00F407FB"/>
    <w:rsid w:val="00F55622"/>
    <w:rsid w:val="00F67CA0"/>
    <w:rsid w:val="00F90B1E"/>
    <w:rsid w:val="00F97C35"/>
    <w:rsid w:val="00FE22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BA4EF"/>
  <w15:chartTrackingRefBased/>
  <w15:docId w15:val="{2B3FD84C-7CE1-45D2-9B36-A26CA657E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EF6"/>
    <w:pPr>
      <w:spacing w:after="0"/>
    </w:pPr>
    <w:rPr>
      <w:rFonts w:ascii="Calibri" w:hAnsi="Calibri"/>
      <w:sz w:val="24"/>
    </w:rPr>
  </w:style>
  <w:style w:type="paragraph" w:styleId="Nagwek1">
    <w:name w:val="heading 1"/>
    <w:basedOn w:val="Normalny"/>
    <w:next w:val="Normalny"/>
    <w:link w:val="Nagwek1Znak"/>
    <w:uiPriority w:val="9"/>
    <w:qFormat/>
    <w:rsid w:val="006F0E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F0E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F0ED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F0ED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F0ED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F0ED0"/>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F0ED0"/>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F0ED0"/>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F0ED0"/>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F0ED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F0ED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F0ED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F0ED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F0ED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F0ED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F0ED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F0ED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F0ED0"/>
    <w:rPr>
      <w:rFonts w:eastAsiaTheme="majorEastAsia" w:cstheme="majorBidi"/>
      <w:color w:val="272727" w:themeColor="text1" w:themeTint="D8"/>
    </w:rPr>
  </w:style>
  <w:style w:type="paragraph" w:styleId="Tytu">
    <w:name w:val="Title"/>
    <w:basedOn w:val="Normalny"/>
    <w:next w:val="Normalny"/>
    <w:link w:val="TytuZnak"/>
    <w:uiPriority w:val="10"/>
    <w:qFormat/>
    <w:rsid w:val="00536B2D"/>
    <w:pPr>
      <w:spacing w:after="80" w:line="240" w:lineRule="auto"/>
      <w:contextualSpacing/>
    </w:pPr>
    <w:rPr>
      <w:rFonts w:asciiTheme="majorHAnsi" w:eastAsiaTheme="majorEastAsia" w:hAnsiTheme="majorHAnsi" w:cstheme="majorBidi"/>
      <w:b/>
      <w:spacing w:val="-10"/>
      <w:kern w:val="28"/>
      <w:sz w:val="32"/>
      <w:szCs w:val="56"/>
    </w:rPr>
  </w:style>
  <w:style w:type="character" w:customStyle="1" w:styleId="TytuZnak">
    <w:name w:val="Tytuł Znak"/>
    <w:basedOn w:val="Domylnaczcionkaakapitu"/>
    <w:link w:val="Tytu"/>
    <w:uiPriority w:val="10"/>
    <w:rsid w:val="00536B2D"/>
    <w:rPr>
      <w:rFonts w:asciiTheme="majorHAnsi" w:eastAsiaTheme="majorEastAsia" w:hAnsiTheme="majorHAnsi" w:cstheme="majorBidi"/>
      <w:b/>
      <w:spacing w:val="-10"/>
      <w:kern w:val="28"/>
      <w:sz w:val="32"/>
      <w:szCs w:val="56"/>
    </w:rPr>
  </w:style>
  <w:style w:type="paragraph" w:styleId="Podtytu">
    <w:name w:val="Subtitle"/>
    <w:basedOn w:val="Normalny"/>
    <w:next w:val="Normalny"/>
    <w:link w:val="PodtytuZnak"/>
    <w:uiPriority w:val="11"/>
    <w:qFormat/>
    <w:rsid w:val="009D1EF6"/>
    <w:pPr>
      <w:spacing w:before="240" w:after="240"/>
    </w:pPr>
    <w:rPr>
      <w:rFonts w:asciiTheme="majorHAnsi" w:hAnsiTheme="majorHAnsi"/>
      <w:b/>
    </w:rPr>
  </w:style>
  <w:style w:type="character" w:customStyle="1" w:styleId="PodtytuZnak">
    <w:name w:val="Podtytuł Znak"/>
    <w:basedOn w:val="Domylnaczcionkaakapitu"/>
    <w:link w:val="Podtytu"/>
    <w:uiPriority w:val="11"/>
    <w:rsid w:val="009D1EF6"/>
    <w:rPr>
      <w:rFonts w:asciiTheme="majorHAnsi" w:hAnsiTheme="majorHAnsi"/>
      <w:b/>
      <w:sz w:val="24"/>
    </w:rPr>
  </w:style>
  <w:style w:type="paragraph" w:styleId="Cytat">
    <w:name w:val="Quote"/>
    <w:basedOn w:val="Normalny"/>
    <w:next w:val="Normalny"/>
    <w:link w:val="CytatZnak"/>
    <w:uiPriority w:val="29"/>
    <w:qFormat/>
    <w:rsid w:val="006F0ED0"/>
    <w:pPr>
      <w:spacing w:before="160"/>
      <w:jc w:val="center"/>
    </w:pPr>
    <w:rPr>
      <w:i/>
      <w:iCs/>
      <w:color w:val="404040" w:themeColor="text1" w:themeTint="BF"/>
    </w:rPr>
  </w:style>
  <w:style w:type="character" w:customStyle="1" w:styleId="CytatZnak">
    <w:name w:val="Cytat Znak"/>
    <w:basedOn w:val="Domylnaczcionkaakapitu"/>
    <w:link w:val="Cytat"/>
    <w:uiPriority w:val="29"/>
    <w:rsid w:val="006F0ED0"/>
    <w:rPr>
      <w:i/>
      <w:iCs/>
      <w:color w:val="404040" w:themeColor="text1" w:themeTint="BF"/>
    </w:rPr>
  </w:style>
  <w:style w:type="paragraph" w:styleId="Akapitzlist">
    <w:name w:val="List Paragraph"/>
    <w:basedOn w:val="Normalny"/>
    <w:uiPriority w:val="34"/>
    <w:qFormat/>
    <w:rsid w:val="006F0ED0"/>
    <w:pPr>
      <w:ind w:left="720"/>
      <w:contextualSpacing/>
    </w:pPr>
  </w:style>
  <w:style w:type="character" w:styleId="Wyrnienieintensywne">
    <w:name w:val="Intense Emphasis"/>
    <w:basedOn w:val="Domylnaczcionkaakapitu"/>
    <w:uiPriority w:val="21"/>
    <w:qFormat/>
    <w:rsid w:val="006F0ED0"/>
    <w:rPr>
      <w:i/>
      <w:iCs/>
      <w:color w:val="0F4761" w:themeColor="accent1" w:themeShade="BF"/>
    </w:rPr>
  </w:style>
  <w:style w:type="paragraph" w:styleId="Cytatintensywny">
    <w:name w:val="Intense Quote"/>
    <w:basedOn w:val="Normalny"/>
    <w:next w:val="Normalny"/>
    <w:link w:val="CytatintensywnyZnak"/>
    <w:uiPriority w:val="30"/>
    <w:qFormat/>
    <w:rsid w:val="006F0E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F0ED0"/>
    <w:rPr>
      <w:i/>
      <w:iCs/>
      <w:color w:val="0F4761" w:themeColor="accent1" w:themeShade="BF"/>
    </w:rPr>
  </w:style>
  <w:style w:type="character" w:styleId="Odwoanieintensywne">
    <w:name w:val="Intense Reference"/>
    <w:basedOn w:val="Domylnaczcionkaakapitu"/>
    <w:uiPriority w:val="32"/>
    <w:qFormat/>
    <w:rsid w:val="006F0ED0"/>
    <w:rPr>
      <w:b/>
      <w:bCs/>
      <w:smallCaps/>
      <w:color w:val="0F4761" w:themeColor="accent1" w:themeShade="BF"/>
      <w:spacing w:val="5"/>
    </w:rPr>
  </w:style>
  <w:style w:type="paragraph" w:styleId="Bezodstpw">
    <w:name w:val="No Spacing"/>
    <w:link w:val="BezodstpwZnak"/>
    <w:uiPriority w:val="1"/>
    <w:qFormat/>
    <w:rsid w:val="00640EAA"/>
    <w:pPr>
      <w:spacing w:after="0" w:line="240" w:lineRule="auto"/>
    </w:pPr>
    <w:rPr>
      <w:rFonts w:eastAsiaTheme="minorEastAsia"/>
      <w:kern w:val="0"/>
      <w:lang w:eastAsia="pl-PL"/>
      <w14:ligatures w14:val="none"/>
    </w:rPr>
  </w:style>
  <w:style w:type="character" w:customStyle="1" w:styleId="BezodstpwZnak">
    <w:name w:val="Bez odstępów Znak"/>
    <w:basedOn w:val="Domylnaczcionkaakapitu"/>
    <w:link w:val="Bezodstpw"/>
    <w:uiPriority w:val="1"/>
    <w:rsid w:val="00640EAA"/>
    <w:rPr>
      <w:rFonts w:eastAsiaTheme="minorEastAsia"/>
      <w:kern w:val="0"/>
      <w:lang w:eastAsia="pl-PL"/>
      <w14:ligatures w14:val="none"/>
    </w:rPr>
  </w:style>
  <w:style w:type="paragraph" w:styleId="Nagwek">
    <w:name w:val="header"/>
    <w:basedOn w:val="Normalny"/>
    <w:link w:val="NagwekZnak"/>
    <w:uiPriority w:val="99"/>
    <w:unhideWhenUsed/>
    <w:rsid w:val="00640EAA"/>
    <w:pPr>
      <w:tabs>
        <w:tab w:val="center" w:pos="4536"/>
        <w:tab w:val="right" w:pos="9072"/>
      </w:tabs>
      <w:spacing w:line="240" w:lineRule="auto"/>
    </w:pPr>
  </w:style>
  <w:style w:type="character" w:customStyle="1" w:styleId="NagwekZnak">
    <w:name w:val="Nagłówek Znak"/>
    <w:basedOn w:val="Domylnaczcionkaakapitu"/>
    <w:link w:val="Nagwek"/>
    <w:uiPriority w:val="99"/>
    <w:rsid w:val="00640EAA"/>
  </w:style>
  <w:style w:type="paragraph" w:styleId="Stopka">
    <w:name w:val="footer"/>
    <w:basedOn w:val="Normalny"/>
    <w:link w:val="StopkaZnak"/>
    <w:uiPriority w:val="99"/>
    <w:unhideWhenUsed/>
    <w:rsid w:val="00640EAA"/>
    <w:pPr>
      <w:tabs>
        <w:tab w:val="center" w:pos="4536"/>
        <w:tab w:val="right" w:pos="9072"/>
      </w:tabs>
      <w:spacing w:line="240" w:lineRule="auto"/>
    </w:pPr>
  </w:style>
  <w:style w:type="character" w:customStyle="1" w:styleId="StopkaZnak">
    <w:name w:val="Stopka Znak"/>
    <w:basedOn w:val="Domylnaczcionkaakapitu"/>
    <w:link w:val="Stopka"/>
    <w:uiPriority w:val="99"/>
    <w:rsid w:val="00640EAA"/>
  </w:style>
  <w:style w:type="character" w:styleId="Hipercze">
    <w:name w:val="Hyperlink"/>
    <w:basedOn w:val="Domylnaczcionkaakapitu"/>
    <w:uiPriority w:val="99"/>
    <w:unhideWhenUsed/>
    <w:rsid w:val="00D62694"/>
    <w:rPr>
      <w:color w:val="467886" w:themeColor="hyperlink"/>
      <w:u w:val="single"/>
    </w:rPr>
  </w:style>
  <w:style w:type="character" w:styleId="Nierozpoznanawzmianka">
    <w:name w:val="Unresolved Mention"/>
    <w:basedOn w:val="Domylnaczcionkaakapitu"/>
    <w:uiPriority w:val="99"/>
    <w:semiHidden/>
    <w:unhideWhenUsed/>
    <w:rsid w:val="00D62694"/>
    <w:rPr>
      <w:color w:val="605E5C"/>
      <w:shd w:val="clear" w:color="auto" w:fill="E1DFDD"/>
    </w:rPr>
  </w:style>
  <w:style w:type="paragraph" w:customStyle="1" w:styleId="Standard">
    <w:name w:val="Standard"/>
    <w:rsid w:val="004239AE"/>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 w:type="table" w:styleId="Tabela-Siatka">
    <w:name w:val="Table Grid"/>
    <w:basedOn w:val="Standardowy"/>
    <w:uiPriority w:val="39"/>
    <w:rsid w:val="00757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ny"/>
    <w:uiPriority w:val="40"/>
    <w:qFormat/>
    <w:rsid w:val="00757646"/>
    <w:pPr>
      <w:tabs>
        <w:tab w:val="decimal" w:pos="360"/>
      </w:tabs>
      <w:spacing w:after="200" w:line="276" w:lineRule="auto"/>
    </w:pPr>
    <w:rPr>
      <w:rFonts w:asciiTheme="minorHAnsi" w:eastAsiaTheme="minorEastAsia" w:hAnsiTheme="minorHAnsi" w:cs="Times New Roman"/>
      <w:kern w:val="0"/>
      <w:sz w:val="22"/>
      <w:lang w:eastAsia="pl-PL"/>
      <w14:ligatures w14:val="none"/>
    </w:rPr>
  </w:style>
  <w:style w:type="paragraph" w:styleId="Tekstprzypisudolnego">
    <w:name w:val="footnote text"/>
    <w:basedOn w:val="Normalny"/>
    <w:link w:val="TekstprzypisudolnegoZnak"/>
    <w:uiPriority w:val="99"/>
    <w:unhideWhenUsed/>
    <w:rsid w:val="00757646"/>
    <w:pPr>
      <w:spacing w:line="240" w:lineRule="auto"/>
    </w:pPr>
    <w:rPr>
      <w:rFonts w:asciiTheme="minorHAnsi" w:eastAsiaTheme="minorEastAsia" w:hAnsiTheme="minorHAnsi" w:cs="Times New Roman"/>
      <w:kern w:val="0"/>
      <w:sz w:val="20"/>
      <w:szCs w:val="20"/>
      <w:lang w:eastAsia="pl-PL"/>
      <w14:ligatures w14:val="none"/>
    </w:rPr>
  </w:style>
  <w:style w:type="character" w:customStyle="1" w:styleId="TekstprzypisudolnegoZnak">
    <w:name w:val="Tekst przypisu dolnego Znak"/>
    <w:basedOn w:val="Domylnaczcionkaakapitu"/>
    <w:link w:val="Tekstprzypisudolnego"/>
    <w:uiPriority w:val="99"/>
    <w:rsid w:val="00757646"/>
    <w:rPr>
      <w:rFonts w:eastAsiaTheme="minorEastAsia" w:cs="Times New Roman"/>
      <w:kern w:val="0"/>
      <w:sz w:val="20"/>
      <w:szCs w:val="20"/>
      <w:lang w:eastAsia="pl-PL"/>
      <w14:ligatures w14:val="none"/>
    </w:rPr>
  </w:style>
  <w:style w:type="character" w:styleId="Wyrnieniedelikatne">
    <w:name w:val="Subtle Emphasis"/>
    <w:basedOn w:val="Domylnaczcionkaakapitu"/>
    <w:uiPriority w:val="19"/>
    <w:qFormat/>
    <w:rsid w:val="00757646"/>
    <w:rPr>
      <w:i/>
      <w:iCs/>
    </w:rPr>
  </w:style>
  <w:style w:type="table" w:styleId="Jasnecieniowanieakcent1">
    <w:name w:val="Light Shading Accent 1"/>
    <w:basedOn w:val="Standardowy"/>
    <w:uiPriority w:val="60"/>
    <w:rsid w:val="00757646"/>
    <w:pPr>
      <w:spacing w:after="0" w:line="240" w:lineRule="auto"/>
    </w:pPr>
    <w:rPr>
      <w:rFonts w:eastAsiaTheme="minorEastAsia"/>
      <w:color w:val="0F4761" w:themeColor="accent1" w:themeShade="BF"/>
      <w:kern w:val="0"/>
      <w:lang w:eastAsia="pl-PL"/>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paragraph" w:styleId="Legenda">
    <w:name w:val="caption"/>
    <w:basedOn w:val="Normalny"/>
    <w:next w:val="Normalny"/>
    <w:uiPriority w:val="35"/>
    <w:unhideWhenUsed/>
    <w:qFormat/>
    <w:rsid w:val="00156DC0"/>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BF853-5E43-43F5-BD53-325C6A338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17677</TotalTime>
  <Pages>10</Pages>
  <Words>3495</Words>
  <Characters>20976</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s</dc:creator>
  <cp:keywords/>
  <dc:description/>
  <cp:lastModifiedBy>l s</cp:lastModifiedBy>
  <cp:revision>45</cp:revision>
  <dcterms:created xsi:type="dcterms:W3CDTF">2026-05-14T15:44:00Z</dcterms:created>
  <dcterms:modified xsi:type="dcterms:W3CDTF">2026-08-31T19:19:00Z</dcterms:modified>
</cp:coreProperties>
</file>